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ind w:left="11907" w:right="-598"/>
        <w:jc w:val="right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</w:t>
      </w:r>
      <w:r>
        <w:rPr>
          <w:rFonts w:ascii="Times New Roman" w:hAnsi="Times New Roman"/>
          <w:sz w:val="28"/>
        </w:rPr>
        <w:t xml:space="preserve">11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6"/>
        <w:ind w:right="-598"/>
        <w:jc w:val="right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6"/>
        <w:ind w:left="-567" w:right="-598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Отчет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6"/>
        <w:ind w:left="-567" w:right="-598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достижении значений показателей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государственной программы</w:t>
      </w:r>
      <w:r>
        <w:rPr>
          <w:rFonts w:ascii="Times New Roman" w:hAnsi="Times New Roman"/>
          <w:sz w:val="28"/>
        </w:rPr>
        <w:t xml:space="preserve">, результатов структурных элементов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6"/>
        <w:ind w:left="-567" w:right="-598"/>
        <w:jc w:val="center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государственной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«Стимулирование развития жилищного строительства в Оренбургской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856"/>
        <w:ind w:left="-567" w:right="-598"/>
        <w:jc w:val="center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за I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квартал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856"/>
        <w:jc w:val="both"/>
        <w:spacing w:after="0" w:line="240" w:lineRule="auto"/>
        <w:rPr>
          <w:rFonts w:ascii="Times New Roman" w:hAnsi="Times New Roman"/>
          <w:sz w:val="2"/>
          <w:szCs w:val="2"/>
          <w:highlight w:val="yellow"/>
        </w:rPr>
      </w:pPr>
      <w:r>
        <w:rPr>
          <w:rFonts w:ascii="Times New Roman" w:hAnsi="Times New Roman"/>
          <w:sz w:val="2"/>
          <w:szCs w:val="2"/>
          <w:highlight w:val="yellow"/>
        </w:rPr>
      </w:r>
      <w:r>
        <w:rPr>
          <w:rFonts w:ascii="Times New Roman" w:hAnsi="Times New Roman"/>
          <w:sz w:val="2"/>
          <w:szCs w:val="2"/>
          <w:highlight w:val="yellow"/>
        </w:rPr>
      </w:r>
      <w:r>
        <w:rPr>
          <w:rFonts w:ascii="Times New Roman" w:hAnsi="Times New Roman"/>
          <w:sz w:val="2"/>
          <w:szCs w:val="2"/>
          <w:highlight w:val="yellow"/>
        </w:rPr>
      </w:r>
    </w:p>
    <w:p>
      <w:pPr>
        <w:pStyle w:val="856"/>
        <w:spacing w:after="0" w:line="240" w:lineRule="auto"/>
        <w:rPr>
          <w:rFonts w:ascii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/>
          <w:sz w:val="28"/>
          <w:szCs w:val="28"/>
          <w:highlight w:val="yellow"/>
          <w:lang w:eastAsia="ru-RU"/>
        </w:rPr>
      </w:r>
    </w:p>
    <w:p>
      <w:pPr>
        <w:pStyle w:val="856"/>
        <w:jc w:val="center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>
        <w:rPr>
          <w:rFonts w:ascii="Times New Roman" w:hAnsi="Times New Roman"/>
          <w:sz w:val="2"/>
          <w:szCs w:val="2"/>
          <w:lang w:eastAsia="ru-RU"/>
        </w:rPr>
      </w:r>
      <w:r>
        <w:rPr>
          <w:rFonts w:ascii="Times New Roman" w:hAnsi="Times New Roman"/>
          <w:sz w:val="2"/>
          <w:szCs w:val="2"/>
          <w:lang w:eastAsia="ru-RU"/>
        </w:rPr>
      </w:r>
      <w:r>
        <w:rPr>
          <w:rFonts w:ascii="Times New Roman" w:hAnsi="Times New Roman"/>
          <w:sz w:val="2"/>
          <w:szCs w:val="2"/>
          <w:lang w:eastAsia="ru-RU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6"/>
        <w:gridCol w:w="5406"/>
        <w:gridCol w:w="1482"/>
        <w:gridCol w:w="1032"/>
        <w:gridCol w:w="1032"/>
        <w:gridCol w:w="1207"/>
        <w:gridCol w:w="39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blHeader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246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№</w:t>
              <w:br w:type="textWrapping" w:clear="all"/>
              <w:t xml:space="preserve">п/п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none" w:color="000000" w:sz="4" w:space="0"/>
            </w:tcBorders>
            <w:tcW w:w="182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(результата)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non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Един</w:t>
            </w:r>
            <w:r>
              <w:rPr>
                <w:rFonts w:ascii="Times New Roman" w:hAnsi="Times New Roman"/>
                <w:lang w:eastAsia="ru-RU"/>
              </w:rPr>
              <w:t xml:space="preserve">и</w:t>
            </w:r>
            <w:r>
              <w:rPr>
                <w:rFonts w:ascii="Times New Roman" w:hAnsi="Times New Roman"/>
                <w:lang w:eastAsia="ru-RU"/>
              </w:rPr>
              <w:t xml:space="preserve">ца 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измер</w:t>
            </w:r>
            <w:r>
              <w:rPr>
                <w:rFonts w:ascii="Times New Roman" w:hAnsi="Times New Roman"/>
                <w:lang w:eastAsia="ru-RU"/>
              </w:rPr>
              <w:t xml:space="preserve">е</w:t>
            </w:r>
            <w:r>
              <w:rPr>
                <w:rFonts w:ascii="Times New Roman" w:hAnsi="Times New Roman"/>
                <w:lang w:eastAsia="ru-RU"/>
              </w:rPr>
              <w:t xml:space="preserve">ния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110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Значение показателя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(результата)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31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Обоснование отклонения значения </w:t>
            </w:r>
            <w:r>
              <w:rPr>
                <w:rFonts w:ascii="Times New Roman" w:hAnsi="Times New Roman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lang w:eastAsia="ru-RU"/>
              </w:rPr>
              <w:t xml:space="preserve">пок</w:t>
            </w:r>
            <w:r>
              <w:rPr>
                <w:rFonts w:ascii="Times New Roman" w:hAnsi="Times New Roman"/>
                <w:lang w:eastAsia="ru-RU"/>
              </w:rPr>
              <w:t xml:space="preserve">а</w:t>
            </w:r>
            <w:r>
              <w:rPr>
                <w:rFonts w:ascii="Times New Roman" w:hAnsi="Times New Roman"/>
                <w:lang w:eastAsia="ru-RU"/>
              </w:rPr>
              <w:t xml:space="preserve">зат</w:t>
            </w:r>
            <w:r>
              <w:rPr>
                <w:rFonts w:ascii="Times New Roman" w:hAnsi="Times New Roman"/>
                <w:lang w:eastAsia="ru-RU"/>
              </w:rPr>
              <w:t xml:space="preserve">е</w:t>
            </w:r>
            <w:r>
              <w:rPr>
                <w:rFonts w:ascii="Times New Roman" w:hAnsi="Times New Roman"/>
                <w:lang w:eastAsia="ru-RU"/>
              </w:rPr>
              <w:t xml:space="preserve">ля (результата)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(при наличии)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233"/>
          <w:tblHeader/>
        </w:trPr>
        <w:tc>
          <w:tcPr>
            <w:tcBorders>
              <w:right w:val="single" w:color="000000" w:sz="4" w:space="0"/>
            </w:tcBorders>
            <w:tcW w:w="246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none" w:color="000000" w:sz="4" w:space="0"/>
            </w:tcBorders>
            <w:tcW w:w="1828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non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lang w:eastAsia="ru-RU"/>
              </w:rPr>
              <w:t xml:space="preserve">4</w:t>
            </w:r>
            <w:r>
              <w:rPr>
                <w:rFonts w:ascii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757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lang w:eastAsia="ru-RU"/>
              </w:rPr>
              <w:t xml:space="preserve">5</w:t>
            </w:r>
            <w:r>
              <w:rPr>
                <w:rFonts w:ascii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319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blHeader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828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план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факт на </w:t>
            </w:r>
            <w:r>
              <w:rPr>
                <w:rFonts w:ascii="Times New Roman" w:hAnsi="Times New Roman"/>
                <w:lang w:eastAsia="ru-RU"/>
              </w:rPr>
              <w:t xml:space="preserve">3</w:t>
            </w:r>
            <w:r>
              <w:rPr>
                <w:rFonts w:ascii="Times New Roman" w:hAnsi="Times New Roman"/>
                <w:lang w:eastAsia="ru-RU"/>
              </w:rPr>
              <w:t xml:space="preserve">1</w:t>
            </w:r>
            <w:r>
              <w:rPr>
                <w:rFonts w:ascii="Times New Roman" w:hAnsi="Times New Roman"/>
                <w:lang w:eastAsia="ru-RU"/>
              </w:rPr>
              <w:t xml:space="preserve">.</w:t>
            </w:r>
            <w:r>
              <w:rPr>
                <w:rFonts w:ascii="Times New Roman" w:hAnsi="Times New Roman"/>
                <w:lang w:eastAsia="ru-RU"/>
              </w:rPr>
              <w:t xml:space="preserve">03</w:t>
            </w:r>
            <w:r>
              <w:rPr>
                <w:rFonts w:ascii="Times New Roman" w:hAnsi="Times New Roman"/>
                <w:lang w:eastAsia="ru-RU"/>
              </w:rPr>
              <w:t xml:space="preserve">.202</w:t>
            </w:r>
            <w:r>
              <w:rPr>
                <w:rFonts w:ascii="Times New Roman" w:hAnsi="Times New Roman"/>
                <w:lang w:eastAsia="ru-RU"/>
              </w:rPr>
              <w:t xml:space="preserve">5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</w:tcBorders>
            <w:tcW w:w="1319" w:type="pct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blHeader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265"/>
        </w:trPr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eastAsia="ru-RU"/>
              </w:rPr>
              <w:t xml:space="preserve">Государственная программа «Стимулирование развития жилищного строительства в Оренбургской области»</w:t>
            </w:r>
            <w:r>
              <w:rPr>
                <w:rFonts w:ascii="Times New Roman" w:hAnsi="Times New Roman"/>
                <w:color w:val="000000" w:themeColor="text1"/>
                <w:spacing w:val="-4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pacing w:val="-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1028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Объем жилищного строительства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, млн. кв. метров в год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млн.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кв. метров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1,1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894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1,1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84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0,3491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Выполнение прогнозного п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о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казателя (результата) за I квартал – 29,5 %. Достижение п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о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казателя (результата) планир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у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Количество квадратных метров используемого арендного (наемного) жилищного фонда коммерческого использования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тыс.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кв. метров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7,85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8,05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7,84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Выполнение прогнозного показателя (результата) за 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I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квартал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 – 97,4 %. 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Уровень обеспеченности Оренбургской области, разработанной (актуализированной) документацией в области градостроительной деятельности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 %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Уровень обеспеченности муниципальных образований Оренбургской области разработанными (актуализированными) документами в области градостроительной деятельности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100 %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Доля объектов капитального строительства, соответствующих требованиям, указанным в части 16 статьи 54 Градостроительного кодекса Российской Федерации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100 %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color w:val="000000"/>
                <w:highlight w:val="yellow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Доля проектных деклараций, соответствующих требованиям</w:t>
            </w:r>
            <w:r>
              <w:rPr>
                <w:rFonts w:ascii="Times New Roman" w:hAnsi="Times New Roman"/>
                <w:highlight w:val="none"/>
              </w:rPr>
              <w:t xml:space="preserve">, установленным Федеральным законом от 30.12.2004 № 214-Ф</w:t>
            </w:r>
            <w:r>
              <w:rPr>
                <w:rFonts w:ascii="Times New Roman" w:hAnsi="Times New Roman"/>
                <w:highlight w:val="none"/>
              </w:rPr>
              <w:t xml:space="preserve">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принятыми в соответствии с ним иными нормативными правовыми актами Российской Федерации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89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100 %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Доля расселенной площади в общей площади аварийного жилого фонда (нарастающим итогом)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,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80,2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78,3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Выполнение прогнозного показателя (результата) за I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 квартал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 – 97,6 %. 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Доля аварийного жилищного фонда, внесенного в цифровой реестр аварийного жилья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100 %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eastAsia="ru-RU"/>
              </w:rPr>
              <w:t xml:space="preserve">Комплекс процессных мероприятий «Реализация инфраструктурных проектов»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</w:r>
            <w:r>
              <w:rPr>
                <w:rFonts w:ascii="Times New Roman" w:hAnsi="Times New Roman"/>
                <w:color w:val="000000" w:themeColor="text1"/>
                <w:spacing w:val="-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Построено транспортных развязок в г. Оренбурге для обеспечения транспортной доступности к территории, ограниченной улицей Гаранькина, шоссе Загородным, перспективной магистралью районного значения, территорией городских округов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Количество выполненных договоров на технологическое присоединение к инженерным сетям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/>
                <w:highlight w:val="none"/>
                <w:vertAlign w:val="superscript"/>
                <w:lang w:eastAsia="ru-RU"/>
              </w:rPr>
              <w:t xml:space="preserve">*)</w:t>
            </w:r>
            <w:r>
              <w:rPr>
                <w:rFonts w:ascii="Times New Roman" w:hAnsi="Times New Roman"/>
                <w:color w:val="000000"/>
                <w:highlight w:val="none"/>
                <w:vertAlign w:val="superscript"/>
              </w:rPr>
            </w:r>
            <w:r>
              <w:rPr>
                <w:rFonts w:ascii="Times New Roman" w:hAnsi="Times New Roman"/>
                <w:color w:val="000000"/>
                <w:highlight w:val="non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Количество построенных объектов коммунальной инфраструктуры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Комплекс процессных мероприятий «Развитие арендного (наемного) жилищного фонда.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856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Восстановление прав граждан – участников долевого строительства»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</w:r>
            <w:r>
              <w:rPr>
                <w:rFonts w:ascii="Times New Roman" w:hAnsi="Times New Roman"/>
                <w:color w:val="000000" w:themeColor="text1"/>
                <w:spacing w:val="-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Проживает семей в арендном (наемном) жилищном фонде коммерческого использования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137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140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137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2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Выполнение прогнозного показателя (результата) за I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 квартал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 – 97,9 %. 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Комплекс процессных мероприятий «Развитие системы градорегулирования в Оренбургской области»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Подготовлен проект изменений в схему территориального планирования Оренбургской области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2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Разработаны (актуализированы) документы территориального планирования и градостроительного зонирования муниципальных образований Оренбургской области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2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72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иведено документов территориального планирования,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размещения в ГИСОГД Оренбургской области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2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100 %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72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Подготовлены документы для внесения сведений о границах населенных пунктов в Единый государственный реестр недвижимости</w:t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1298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1298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1298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2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100 %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52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Проведено консультаций по актуальным направлениям архитектурного и пространственного развития территорий муниципальных образований Оренбургской области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Проведено заседаний архитектурно-градостроительного совета при Губернаторе Оренбу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ргской области в запланированном количестве заседаний архитектурно-градостроительного совета при Губернаторе Оренбургской области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25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Выполнение прогнозного показателя (результата) за I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 квартал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 – 25,0 %. Достижение показателя (результата) планируется по итогам текущего года.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Увеличена доля граждан, вовлеченных в принятие участия в решении вопросов развития архитектурно-пространственной среды, в общей численности граждан, проживающих на территории Оренбургской области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6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7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Выполнение прогнозного показателя (результата) за I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 квартал</w:t>
            </w:r>
            <w:r>
              <w:rPr>
                <w:rFonts w:ascii="Times New Roman" w:hAnsi="Times New Roman"/>
                <w:color w:val="000000"/>
                <w:spacing w:val="-2"/>
                <w:highlight w:val="none"/>
                <w:lang w:eastAsia="ru-RU"/>
              </w:rPr>
              <w:t xml:space="preserve"> – 28,6 %. Достижение показателя (результата) планируется по итогам текущего года.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Подготовлено материалов и технических заданий для проведения архитектурных конкурсов лучших проектов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9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Разработано проектов в области градостроительной деятельности муниципальных образований Оренбургского района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14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55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10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Организовано выставочно-ярмарочных и конгрессных мероприятий в сфере архитектуры, градостроительства и пространственного развития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63"/>
              <w:ind w:left="-57" w:right="-57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Комплекс процессных мероприятий «Обеспечение реализации государственной программы»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Устранено нарушений градостроительного законодательства в общем количестве нарушений, срок устранения которых наступил в отчетном периоде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63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  <w:t xml:space="preserve">100 %</w:t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Выдано в установленный законом срок заключений о соответствии построенного, реконструированного объекта капитального строительства требованиям, указанным в части 16 статьи 54 Градостроительного кодекса Российской Федерации, от общего количества заключений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100 %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977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Проведено профилактических мероприятий в отношении застройщиков, привлекающих денежные средства участников долевого строительства, в общем количестве объектов контроля за отчетный период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100 %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4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Проанализировано в установленный в задании срок проектных деклараций застройщиков, привлекающих денежные средства участников долевого строительства для строительства (создания) многоквартирных домов и 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(или) иных объектов недвижимости, в общем количестве поступивших от застройщиков, привлекающих денежные средства участников долевого строительства, проектных деклараций (со дня заключения первого договора участия в долевом строительстве) за отчетный период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63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  <w:t xml:space="preserve">100 %</w:t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4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Введено в эксплуатацию объектов социальной и инженерной инфраструктур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4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Построено, реконструировано, отремонтировано объектов капитального строительства Оренбургской области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212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203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64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63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  <w:t xml:space="preserve">Выполнение прогнозного показателя (результата) за I квартал – 31,5 %. 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4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Просрочена кредиторская задолженность по обязательствам министерства строительства, жилищно-коммунального, дорожного хозяйства и транспорта Оренбургской области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тыс. рублей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63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  <w:t xml:space="preserve">100 %</w:t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4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 xml:space="preserve">Выдано заключений по результатам проведенной государственной экспертизы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eastAsia="ru-RU"/>
              </w:rPr>
              <w:t xml:space="preserve">1237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eastAsia="ru-RU"/>
              </w:rPr>
              <w:t xml:space="preserve">722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eastAsia="ru-RU"/>
              </w:rPr>
              <w:t xml:space="preserve">180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63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2"/>
                <w:highlight w:val="white"/>
              </w:rPr>
              <w:t xml:space="preserve">Выполнение прогнозного показателя (результата) за I квартал – 24,9 %. 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4"/>
                <w:sz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347"/>
        </w:trPr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Комплекс процессных мероприятий «Развитие ипотечного жилищного кредитования в Оренбургской области»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1015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eastAsia="ru-RU"/>
              </w:rPr>
              <w:t xml:space="preserve">Семьи, улучшившие жилищные условия за счет получения социальных выплат на уплату первоначального взноса при получении ипотечного жилищного кредита (или его части)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eastAsia="ru-RU"/>
              </w:rPr>
              <w:t xml:space="preserve">19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eastAsia="ru-RU"/>
              </w:rPr>
              <w:t xml:space="preserve">25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white"/>
              </w:rPr>
              <w:t xml:space="preserve">Выполнение прогнозного показателя (результата) за I квартал – 4 %. 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spacing w:val="-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289"/>
        </w:trPr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Комплекс процессных мероприятий «Переселение граждан из аварийного жилищного фонда Оренбургской области»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4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Реализованы мероприятия, предусмотренные региональной программой переселения граждан из непригодного для проживания жилищного фонда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тыс.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кв. метров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8,14313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5,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744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Реализованы мероприятия по переселению граждан из домов блокированной застройки, признанных аварийными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тыс.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кв. метров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0,7762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0,87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684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Реализованы мероприятия по переселению граждан из МКД, признанных аварийными после 1 января                 2022 года, находящихся под угрозой обрушения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тыс.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кв. метров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1,6335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399"/>
        </w:trPr>
        <w:tc>
          <w:tcPr>
            <w:gridSpan w:val="7"/>
            <w:shd w:val="clear" w:color="auto" w:fill="deeaf6"/>
            <w:tcBorders>
              <w:top w:val="single" w:color="000000" w:sz="4" w:space="0"/>
              <w:bottom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Комплекс процессных мероприятий «Создание объектов инфраструктуры в целях реализации проектов по развитию территорий, расположенных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856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 границах населенных пунктов, предусматривающих строительство жилья»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684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Количество построенных объект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ов инфраструктуры в целях реализации проектов по развитию территорий, расположенных в границах населенных пунктов, предусматривающих строительство жилья, которые ранее финансировались с привлечением средств федерального бюджета в рамках федерального проект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а «Жилье»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color w:val="000000"/>
                <w:highlight w:val="none"/>
                <w:vertAlign w:val="superscript"/>
                <w:lang w:eastAsia="ru-RU"/>
              </w:rPr>
              <w:t xml:space="preserve">**)</w:t>
            </w:r>
            <w:r>
              <w:rPr>
                <w:rFonts w:ascii="Times New Roman" w:hAnsi="Times New Roman"/>
                <w:color w:val="000000"/>
                <w:highlight w:val="none"/>
                <w:vertAlign w:val="superscript"/>
              </w:rPr>
            </w:r>
            <w:r>
              <w:rPr>
                <w:rFonts w:ascii="Times New Roman" w:hAnsi="Times New Roman"/>
                <w:color w:val="000000"/>
                <w:highlight w:val="non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8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Количество построенных объектов инженерной инфраструктуры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0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9" w:type="pct"/>
            <w:vAlign w:val="top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Достижение показателя (результата) планируется по итогам текущего года.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2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507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6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vertAlign w:val="superscript"/>
              </w:rPr>
              <w:t xml:space="preserve">*)</w:t>
            </w:r>
            <w:r>
              <w:rPr>
                <w:rFonts w:ascii="Times New Roman" w:hAnsi="Times New Roman"/>
                <w:color w:val="000000"/>
                <w:highlight w:val="none"/>
              </w:rPr>
              <w:t xml:space="preserve"> значение показателя указано в соответствии с соглашением, заключенным между минстроем Оренбургск</w:t>
            </w:r>
            <w:r>
              <w:rPr>
                <w:rFonts w:ascii="Times New Roman" w:hAnsi="Times New Roman"/>
                <w:color w:val="000000"/>
                <w:highlight w:val="none"/>
              </w:rPr>
              <w:t xml:space="preserve">о</w:t>
            </w:r>
            <w:r>
              <w:rPr>
                <w:rFonts w:ascii="Times New Roman" w:hAnsi="Times New Roman"/>
                <w:color w:val="000000"/>
                <w:highlight w:val="none"/>
              </w:rPr>
              <w:t xml:space="preserve">й области и акционерным обществом «Специализированный застройщик «Сельский дом» от 26.02.2025 № 10-2025-001486. Соответствующие изменения в государственную программу подготовлены и находятся на согласовании у заинтересованных исполнительных органов;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vertAlign w:val="superscript"/>
              </w:rPr>
              <w:t xml:space="preserve">**)</w:t>
            </w:r>
            <w:r>
              <w:rPr>
                <w:rFonts w:ascii="Times New Roman" w:hAnsi="Times New Roman"/>
                <w:color w:val="000000"/>
                <w:highlight w:val="none"/>
              </w:rPr>
              <w:t xml:space="preserve"> значение показателя указано в соответствии с соглашением, за</w:t>
            </w:r>
            <w:r>
              <w:rPr>
                <w:rFonts w:ascii="Times New Roman" w:hAnsi="Times New Roman"/>
                <w:color w:val="000000"/>
                <w:highlight w:val="none"/>
              </w:rPr>
              <w:t xml:space="preserve">к</w:t>
            </w:r>
            <w:r>
              <w:rPr>
                <w:rFonts w:ascii="Times New Roman" w:hAnsi="Times New Roman"/>
                <w:color w:val="000000"/>
                <w:highlight w:val="none"/>
              </w:rPr>
              <w:t xml:space="preserve">люченным между минстроем Оренбургской области и администрацией г. Оренбурга от 11.02.2025 № 851-201-2025-00263. Соответствующие изменения в государственную программу подготовлены и находятся на согласовании у заинтересованных исполнительных органов.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</w:tbl>
    <w:p>
      <w:r/>
      <w:r/>
    </w:p>
    <w:sectPr>
      <w:headerReference w:type="even" r:id="rId9"/>
      <w:footnotePr/>
      <w:endnotePr/>
      <w:type w:val="nextPage"/>
      <w:pgSz w:w="16838" w:h="11906" w:orient="landscape"/>
      <w:pgMar w:top="737" w:right="1134" w:bottom="142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5"/>
      </w:rPr>
      <w:framePr w:wrap="around" w:vAnchor="text" w:hAnchor="margin" w:xAlign="center" w:y="1"/>
    </w:pPr>
    <w:r>
      <w:rPr>
        <w:rStyle w:val="865"/>
      </w:rPr>
      <w:fldChar w:fldCharType="begin"/>
    </w:r>
    <w:r>
      <w:rPr>
        <w:rStyle w:val="865"/>
      </w:rPr>
      <w:instrText xml:space="preserve">PAGE  </w:instrText>
    </w:r>
    <w:r>
      <w:rPr>
        <w:rStyle w:val="865"/>
      </w:rPr>
      <w:fldChar w:fldCharType="end"/>
    </w:r>
    <w:r>
      <w:rPr>
        <w:rStyle w:val="865"/>
      </w:rPr>
    </w:r>
    <w:r>
      <w:rPr>
        <w:rStyle w:val="865"/>
      </w:rPr>
    </w:r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paragraph" w:styleId="857">
    <w:name w:val="Заголовок 1"/>
    <w:basedOn w:val="856"/>
    <w:next w:val="856"/>
    <w:link w:val="867"/>
    <w:qFormat/>
    <w:pPr>
      <w:jc w:val="center"/>
      <w:spacing w:before="108" w:after="108" w:line="240" w:lineRule="auto"/>
      <w:widowControl w:val="off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58">
    <w:name w:val="Заголовок 3"/>
    <w:basedOn w:val="856"/>
    <w:next w:val="856"/>
    <w:link w:val="856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59">
    <w:name w:val="Заголовок 4"/>
    <w:basedOn w:val="858"/>
    <w:next w:val="856"/>
    <w:link w:val="868"/>
    <w:qFormat/>
    <w:pPr>
      <w:jc w:val="center"/>
      <w:keepNext w:val="0"/>
      <w:spacing w:before="108" w:after="108" w:line="240" w:lineRule="auto"/>
      <w:widowControl w:val="off"/>
      <w:outlineLvl w:val="3"/>
    </w:pPr>
    <w:rPr>
      <w:rFonts w:ascii="Calibri" w:hAnsi="Calibri" w:cs="Times New Roman"/>
      <w:sz w:val="28"/>
      <w:szCs w:val="28"/>
      <w:lang w:val="en-US" w:eastAsia="en-US"/>
    </w:rPr>
  </w:style>
  <w:style w:type="character" w:styleId="860">
    <w:name w:val="Основной шрифт абзаца"/>
    <w:next w:val="860"/>
    <w:link w:val="870"/>
    <w:semiHidden/>
  </w:style>
  <w:style w:type="table" w:styleId="861">
    <w:name w:val="Обычная таблица"/>
    <w:next w:val="861"/>
    <w:link w:val="856"/>
    <w:semiHidden/>
    <w:tblPr/>
  </w:style>
  <w:style w:type="numbering" w:styleId="862">
    <w:name w:val="Нет списка"/>
    <w:next w:val="862"/>
    <w:link w:val="856"/>
    <w:semiHidden/>
  </w:style>
  <w:style w:type="paragraph" w:styleId="863">
    <w:name w:val="Нормальный (таблица)"/>
    <w:basedOn w:val="856"/>
    <w:next w:val="856"/>
    <w:link w:val="856"/>
    <w:uiPriority w:val="99"/>
    <w:pPr>
      <w:jc w:val="both"/>
      <w:spacing w:after="0" w:line="240" w:lineRule="auto"/>
      <w:widowControl w:val="off"/>
    </w:pPr>
    <w:rPr>
      <w:rFonts w:ascii="Arial" w:hAnsi="Arial" w:cs="Arial"/>
      <w:sz w:val="24"/>
      <w:szCs w:val="24"/>
      <w:lang w:eastAsia="ru-RU"/>
    </w:rPr>
  </w:style>
  <w:style w:type="paragraph" w:styleId="864">
    <w:name w:val="Верхний колонтитул"/>
    <w:basedOn w:val="856"/>
    <w:next w:val="864"/>
    <w:link w:val="856"/>
    <w:pPr>
      <w:tabs>
        <w:tab w:val="center" w:pos="4677" w:leader="none"/>
        <w:tab w:val="right" w:pos="9355" w:leader="none"/>
      </w:tabs>
    </w:pPr>
  </w:style>
  <w:style w:type="character" w:styleId="865">
    <w:name w:val="Номер страницы"/>
    <w:basedOn w:val="860"/>
    <w:next w:val="865"/>
    <w:link w:val="856"/>
  </w:style>
  <w:style w:type="paragraph" w:styleId="866">
    <w:name w:val="Прижатый влево"/>
    <w:basedOn w:val="856"/>
    <w:next w:val="856"/>
    <w:link w:val="856"/>
    <w:uiPriority w:val="99"/>
    <w:pPr>
      <w:spacing w:after="0" w:line="240" w:lineRule="auto"/>
      <w:widowControl w:val="off"/>
    </w:pPr>
    <w:rPr>
      <w:rFonts w:ascii="Arial" w:hAnsi="Arial" w:cs="Arial"/>
      <w:sz w:val="24"/>
      <w:szCs w:val="24"/>
      <w:lang w:eastAsia="ru-RU"/>
    </w:rPr>
  </w:style>
  <w:style w:type="character" w:styleId="867">
    <w:name w:val="Заголовок 1 Знак"/>
    <w:next w:val="867"/>
    <w:link w:val="857"/>
    <w:rPr>
      <w:rFonts w:ascii="Cambria" w:hAnsi="Cambria"/>
      <w:b/>
      <w:bCs/>
      <w:sz w:val="32"/>
      <w:szCs w:val="32"/>
      <w:lang w:val="en-US" w:eastAsia="en-US" w:bidi="ar-SA"/>
    </w:rPr>
  </w:style>
  <w:style w:type="character" w:styleId="868">
    <w:name w:val="Заголовок 4 Знак"/>
    <w:next w:val="868"/>
    <w:link w:val="859"/>
    <w:rPr>
      <w:rFonts w:ascii="Calibri" w:hAnsi="Calibri"/>
      <w:b/>
      <w:bCs/>
      <w:sz w:val="28"/>
      <w:szCs w:val="28"/>
      <w:lang w:val="en-US" w:eastAsia="en-US" w:bidi="ar-SA"/>
    </w:rPr>
  </w:style>
  <w:style w:type="character" w:styleId="869">
    <w:name w:val="Гипертекстовая ссылка"/>
    <w:next w:val="869"/>
    <w:link w:val="856"/>
    <w:uiPriority w:val="99"/>
    <w:rPr>
      <w:rFonts w:cs="Times New Roman"/>
      <w:color w:val="106bbe"/>
    </w:rPr>
  </w:style>
  <w:style w:type="paragraph" w:styleId="870">
    <w:name w:val=" Знак1"/>
    <w:basedOn w:val="856"/>
    <w:next w:val="870"/>
    <w:link w:val="86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871">
    <w:name w:val="Block Quotation"/>
    <w:basedOn w:val="856"/>
    <w:next w:val="871"/>
    <w:link w:val="856"/>
    <w:pPr>
      <w:ind w:left="567" w:right="-2" w:firstLine="851"/>
      <w:jc w:val="both"/>
      <w:spacing w:after="0" w:line="240" w:lineRule="auto"/>
      <w:widowControl w:val="off"/>
    </w:pPr>
    <w:rPr>
      <w:rFonts w:ascii="Times New Roman" w:hAnsi="Times New Roman" w:eastAsia="Calibri"/>
      <w:sz w:val="28"/>
      <w:szCs w:val="28"/>
      <w:lang w:eastAsia="ru-RU"/>
    </w:rPr>
  </w:style>
  <w:style w:type="paragraph" w:styleId="872">
    <w:name w:val="Основной текст 2"/>
    <w:basedOn w:val="856"/>
    <w:next w:val="872"/>
    <w:link w:val="873"/>
    <w:pPr>
      <w:jc w:val="center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873">
    <w:name w:val="Основной текст 2 Знак"/>
    <w:next w:val="873"/>
    <w:link w:val="872"/>
    <w:rPr>
      <w:sz w:val="24"/>
      <w:szCs w:val="24"/>
      <w:lang w:val="en-US" w:eastAsia="en-US" w:bidi="ar-SA"/>
    </w:rPr>
  </w:style>
  <w:style w:type="paragraph" w:styleId="874">
    <w:name w:val="Текст выноски"/>
    <w:basedOn w:val="856"/>
    <w:next w:val="874"/>
    <w:link w:val="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5">
    <w:name w:val="Текст выноски Знак"/>
    <w:next w:val="875"/>
    <w:link w:val="874"/>
    <w:rPr>
      <w:rFonts w:ascii="Tahoma" w:hAnsi="Tahoma" w:cs="Tahoma"/>
      <w:sz w:val="16"/>
      <w:szCs w:val="16"/>
      <w:lang w:eastAsia="en-US"/>
    </w:rPr>
  </w:style>
  <w:style w:type="paragraph" w:styleId="876">
    <w:name w:val="Нижний колонтитул"/>
    <w:basedOn w:val="856"/>
    <w:next w:val="876"/>
    <w:link w:val="877"/>
    <w:pPr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next w:val="877"/>
    <w:link w:val="876"/>
    <w:rPr>
      <w:rFonts w:ascii="Calibri" w:hAnsi="Calibri"/>
      <w:sz w:val="22"/>
      <w:szCs w:val="22"/>
      <w:lang w:eastAsia="en-US"/>
    </w:rPr>
  </w:style>
  <w:style w:type="character" w:styleId="878">
    <w:name w:val="Гиперссылка"/>
    <w:next w:val="878"/>
    <w:link w:val="856"/>
    <w:rPr>
      <w:color w:val="0000ff"/>
      <w:u w:val="single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eash</cp:lastModifiedBy>
  <cp:revision>615</cp:revision>
  <dcterms:created xsi:type="dcterms:W3CDTF">2018-02-15T09:24:00Z</dcterms:created>
  <dcterms:modified xsi:type="dcterms:W3CDTF">2025-04-14T06:03:16Z</dcterms:modified>
  <cp:version>1048576</cp:version>
</cp:coreProperties>
</file>