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7"/>
        <w:jc w:val="center"/>
        <w:keepNext w:val="0"/>
        <w:spacing w:before="0"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7"/>
        <w:jc w:val="center"/>
        <w:keepNext w:val="0"/>
        <w:spacing w:before="0"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ходе реализации 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и об оценке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программы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7"/>
        <w:jc w:val="center"/>
        <w:keepNext w:val="0"/>
        <w:spacing w:before="0"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«Развитие транспортной системы Оренбургской области»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за 2024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7"/>
        <w:jc w:val="center"/>
        <w:keepNext w:val="0"/>
        <w:spacing w:before="0" w:after="0" w:line="36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7"/>
        <w:ind w:firstLine="709"/>
        <w:jc w:val="both"/>
        <w:keepNext w:val="0"/>
        <w:spacing w:before="0" w:after="0"/>
        <w:widowControl w:val="off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Ответственный исполнитель государственной программы: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97"/>
        <w:jc w:val="both"/>
        <w:keepNext w:val="0"/>
        <w:spacing w:before="0" w:after="0"/>
        <w:widowControl w:val="off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министерство строительства, жилищно-коммунального, дорожного хозяйства и транспорта Оренбургской области.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Участником программы является министерство образования Оренбургской области.</w:t>
      </w:r>
      <w:r>
        <w:rPr>
          <w:bCs/>
          <w:sz w:val="28"/>
          <w:szCs w:val="28"/>
        </w:rPr>
      </w:r>
    </w:p>
    <w:p>
      <w:r/>
      <w:r/>
    </w:p>
    <w:p>
      <w:pPr>
        <w:pStyle w:val="697"/>
        <w:ind w:firstLine="709"/>
        <w:jc w:val="center"/>
        <w:keepNext w:val="0"/>
        <w:spacing w:before="0"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результатах реализации структурных элементов государственной программы за отчетный период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7"/>
        <w:jc w:val="center"/>
        <w:keepNext w:val="0"/>
        <w:spacing w:before="0" w:after="0"/>
        <w:widowControl w:val="off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программа «Развитие транспортной системы Оренбургской области»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утверждена постановлением Правительства Оренбургской области от 29.12.2018 № 916-</w:t>
      </w:r>
      <w:r>
        <w:rPr>
          <w:rFonts w:ascii="Times New Roman" w:hAnsi="Times New Roman" w:cs="Times New Roman"/>
          <w:sz w:val="28"/>
          <w:szCs w:val="28"/>
        </w:rPr>
        <w:t xml:space="preserve">пп  и направлена на развитие современной и эффективной инфраструктуры автомобильных дорог общего пользования региональног</w:t>
      </w:r>
      <w:r>
        <w:rPr>
          <w:rFonts w:ascii="Times New Roman" w:hAnsi="Times New Roman" w:cs="Times New Roman"/>
          <w:sz w:val="28"/>
          <w:szCs w:val="28"/>
        </w:rPr>
        <w:t xml:space="preserve">о и межмуниципального значения, обеспечивающей благоприятные условия для развития экономики и социальной сферы Оренбургской области, и дальнейшее развитие устойчиво функционирующей и доступной для всех единой системы общественного пассажирского транспорта.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Объемы бюджетных ассигнований государственной программы приведены в соответствие с Законом Оренбургской области от 14.12.2023 № 993/400-VII-ОЗ «Об областном бюджете на 2024 год и на плановый период 2025 и 2026 годов» (приложение 12).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отдельным</w:t>
      </w:r>
      <w:r>
        <w:rPr>
          <w:sz w:val="28"/>
          <w:szCs w:val="28"/>
        </w:rPr>
        <w:t xml:space="preserve"> статьям расходов кассовое исполнение превышает утвержденные назначения в государственной программе, на основании предложений, направленных в сводную бюджетную роспись, которые приняты министерством финансов Оренбургской области 27.11.2024 (приложение 12).</w:t>
      </w:r>
      <w:r>
        <w:rPr>
          <w:sz w:val="28"/>
          <w:szCs w:val="28"/>
        </w:rPr>
      </w:r>
    </w:p>
    <w:p>
      <w:r/>
      <w:r/>
    </w:p>
    <w:p>
      <w:pPr>
        <w:pStyle w:val="697"/>
        <w:ind w:firstLine="709"/>
        <w:jc w:val="center"/>
        <w:keepNext w:val="0"/>
        <w:spacing w:before="0"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7"/>
        <w:ind w:firstLine="709"/>
        <w:jc w:val="center"/>
        <w:keepNext w:val="0"/>
        <w:spacing w:before="0"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состоит из следующих структурных элементов государственной программы:</w:t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Региональный проект «Региональная и местная дорожная сеть (Оренбургская область)»;</w:t>
      </w:r>
      <w:r>
        <w:rPr>
          <w:sz w:val="28"/>
          <w:szCs w:val="28"/>
        </w:rPr>
      </w:r>
    </w:p>
    <w:p>
      <w:pPr>
        <w:pStyle w:val="8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Региональный проект «Общесистемные меры развития дорожного хозяйства»;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 Комплекс процессных мероприятий «Развитие сети автомобильных дорог регионального, межмуниципального и местного значения»;</w:t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4. Комплекс процессных мероприятий «Обеспечение доступности пассажирских перевозок для населения Оренбургской области».</w:t>
      </w:r>
      <w:r>
        <w:rPr>
          <w:rFonts w:eastAsiaTheme="minorHAnsi"/>
          <w:sz w:val="28"/>
          <w:szCs w:val="28"/>
        </w:rPr>
      </w:r>
    </w:p>
    <w:p>
      <w:pPr>
        <w:ind w:firstLine="709"/>
        <w:jc w:val="both"/>
        <w:rPr>
          <w:rFonts w:eastAsiaTheme="majorEastAsia"/>
          <w:sz w:val="28"/>
          <w:szCs w:val="28"/>
        </w:rPr>
      </w:pPr>
      <w:r>
        <w:rPr>
          <w:rFonts w:eastAsiaTheme="majorEastAsia"/>
          <w:sz w:val="28"/>
          <w:szCs w:val="28"/>
        </w:rPr>
        <w:t xml:space="preserve">В составе государственной программы утверждены показатели и мероприятия (результаты), направленные на реализацию задач структурных элементов государственной программы.  </w:t>
      </w:r>
      <w:r>
        <w:rPr>
          <w:rFonts w:eastAsiaTheme="majorEastAsia"/>
          <w:sz w:val="28"/>
          <w:szCs w:val="28"/>
        </w:rPr>
      </w:r>
    </w:p>
    <w:p>
      <w:pPr>
        <w:ind w:firstLine="709"/>
        <w:jc w:val="both"/>
        <w:rPr>
          <w:rFonts w:eastAsiaTheme="majorEastAsia"/>
          <w:sz w:val="28"/>
          <w:szCs w:val="28"/>
        </w:rPr>
      </w:pPr>
      <w:r>
        <w:rPr>
          <w:rFonts w:eastAsiaTheme="majorEastAsia"/>
          <w:sz w:val="28"/>
          <w:szCs w:val="28"/>
        </w:rPr>
        <w:t xml:space="preserve">Выполнение показателей государственной программы, результатов структурных элементов государственной программы представлено в приложении </w:t>
      </w:r>
      <w:r>
        <w:rPr>
          <w:rFonts w:eastAsiaTheme="majorEastAsia"/>
          <w:sz w:val="28"/>
          <w:szCs w:val="28"/>
        </w:rPr>
        <w:t xml:space="preserve">11, отчет об использовании бюджетных ассигнований представлен в приложении 12, отчет об объемах финансирования государственной программы за счет средств областного</w:t>
      </w:r>
      <w:r>
        <w:rPr>
          <w:rFonts w:eastAsiaTheme="majorEastAsia"/>
          <w:sz w:val="28"/>
          <w:szCs w:val="28"/>
        </w:rPr>
        <w:t xml:space="preserve"> бюджета, средств государственных внебюджетных фондов и прогнозная оценка привлекаемых средств на реализацию государственной программы представлен в приложении 13, отчет о ходе выполнения плана реализации государственной программы представлен в таблице 14.</w:t>
      </w:r>
      <w:r>
        <w:rPr>
          <w:rFonts w:eastAsiaTheme="majorEastAsia"/>
          <w:sz w:val="28"/>
          <w:szCs w:val="28"/>
        </w:rPr>
      </w:r>
    </w:p>
    <w:p>
      <w:pPr>
        <w:ind w:firstLine="709"/>
        <w:jc w:val="both"/>
        <w:rPr>
          <w:rFonts w:eastAsiaTheme="majorEastAsia"/>
          <w:sz w:val="28"/>
          <w:szCs w:val="28"/>
        </w:rPr>
      </w:pPr>
      <w:r>
        <w:rPr>
          <w:rFonts w:eastAsiaTheme="majorEastAsia"/>
          <w:sz w:val="28"/>
          <w:szCs w:val="28"/>
        </w:rPr>
      </w:r>
      <w:r>
        <w:rPr>
          <w:rFonts w:eastAsiaTheme="majorEastAsia"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Региональный проект «Региональная и местная дорожная сеть (Оренбургская область)» (далее – РП РМДС)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задачами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РП РМДС является: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качества дорожной сети, в том числе уличной сети городских агломераций;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 приведение в нормативное состояние (строительство) искусственных сооружений на автомобильных дорогах регионального или межмуниципального и местного значения;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доли отечественного оборудования (товаров, работ, услуг) в общем объеме закупок.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проекта предусмотрено выполнение 2-х результатов и достижение 7-ми показателей. 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2024 году на реализацию РП РМДС предусмотрены бюджетные ассигнования в объеме </w:t>
      </w:r>
      <w:r>
        <w:rPr>
          <w:color w:val="000000"/>
          <w:sz w:val="28"/>
          <w:szCs w:val="28"/>
        </w:rPr>
        <w:t xml:space="preserve">5 227 297,60</w:t>
      </w:r>
      <w:r>
        <w:rPr>
          <w:color w:val="000000"/>
        </w:rPr>
        <w:t xml:space="preserve"> </w:t>
      </w:r>
      <w:r>
        <w:rPr>
          <w:sz w:val="28"/>
          <w:szCs w:val="28"/>
        </w:rPr>
        <w:t xml:space="preserve">тыс. рублей, их них: </w:t>
      </w:r>
      <w:r>
        <w:rPr>
          <w:sz w:val="28"/>
          <w:szCs w:val="28"/>
        </w:rPr>
      </w:r>
    </w:p>
    <w:p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- 560 651,60 тыс. рублей – средства федерального бюджета;</w:t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- 4 666 646,00 тыс. рублей – средства регионального бюджета.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Справочно: средства местных бюджетов (г. Орск, г. Оренбург) – </w:t>
      </w:r>
      <w:r>
        <w:rPr>
          <w:rFonts w:eastAsia="Calibri"/>
          <w:bCs/>
          <w:sz w:val="28"/>
          <w:szCs w:val="28"/>
          <w:lang w:eastAsia="en-US"/>
        </w:rPr>
        <w:t xml:space="preserve">95 837,519</w:t>
      </w: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тыс. рублей. 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Кассовое исполнение по итогам 2024 года в рамках проекта составило 100%.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426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Приведено в нормативное состояние 1,08054 тыс. пог.м искусственных сооружений на дорогах регионального (межмуниципального) значения и 183,293 км автодорог, из них: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tabs>
          <w:tab w:val="left" w:pos="426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региональные (межмуниципальные) дороги – 159,519 км;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tabs>
          <w:tab w:val="left" w:pos="426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местные дороги – 23,774 км, в том числе: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tabs>
          <w:tab w:val="left" w:pos="426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- г. Оренбург – 18,088 км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tabs>
          <w:tab w:val="left" w:pos="426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- г. Орск – 5,686 км.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показатели проекта достигнуты.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red"/>
        </w:rPr>
      </w:pPr>
      <w:r>
        <w:rPr>
          <w:sz w:val="28"/>
          <w:szCs w:val="28"/>
          <w:highlight w:val="red"/>
        </w:rPr>
      </w:r>
      <w:r>
        <w:rPr>
          <w:sz w:val="28"/>
          <w:szCs w:val="28"/>
          <w:highlight w:val="red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Региональный проект «Общесистемные меры развития дорожного хозяйства» (далее – РП ОМРДХ)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задачей проекта является: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совершенствование регуляторной политики и применения новых технологий в дорожной отрасли.</w:t>
      </w:r>
      <w:r>
        <w:rPr>
          <w:sz w:val="28"/>
          <w:szCs w:val="28"/>
          <w:lang w:eastAsia="ar-SA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проекта предусмотрено выполнение 2-х результатов: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«Установлены стационарные камеры фотовидеофиксации нарушений правил дорожного движения на автомобильных дорогах федерального, регионального или межмуниципального, местного значения» достигнут по итогам 2019 года.</w:t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 xml:space="preserve">«Размещены автоматические пункты весогабаритного контроля транспортных средств на автомобильных дорогах регионального или межмуниципального, местного значения» достигнут по итогам 2023 года.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2024 году в рамках данного проекта было предусмотрено финансирование из федерального бюджета в объеме 47 570,0 тыс. рублей п</w:t>
      </w:r>
      <w:r>
        <w:rPr>
          <w:rFonts w:eastAsia="Calibri"/>
          <w:sz w:val="28"/>
          <w:szCs w:val="28"/>
          <w:lang w:eastAsia="en-US"/>
        </w:rPr>
        <w:t xml:space="preserve">о результату «Внедрены 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человек.» (далее – мероприятие по внедрению ИТС).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 состоянию на 05.11.2024 в системе ГИИС «Электронный бюджет» подписано дополнительное соглашение № </w:t>
      </w:r>
      <w:r>
        <w:rPr>
          <w:rStyle w:val="905"/>
        </w:rPr>
        <w:t xml:space="preserve">108-09-2024-114/2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к соглашению о предоставлении иного межбюджетного трансферта, имеющего целевое назначение, из федерального бюджета бюджету субъекта Российской Федерации от 28.12.2023 № </w:t>
      </w:r>
      <w:r>
        <w:rPr>
          <w:rStyle w:val="905"/>
        </w:rPr>
        <w:t xml:space="preserve">108-09-2024-114</w:t>
      </w:r>
      <w:r>
        <w:rPr>
          <w:rFonts w:eastAsia="Calibri"/>
          <w:sz w:val="28"/>
          <w:szCs w:val="28"/>
          <w:lang w:eastAsia="en-US"/>
        </w:rPr>
        <w:t xml:space="preserve">, согласно которому финансирование мероприятия по внедрению ИТС в 2023 году не предусмотрено. Достижение результата по внедрению ИТС также не предусмотрено.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результаты проекта достигнуты.</w:t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center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 xml:space="preserve">3. Комплекс процессных мероприятий «Развитие сети </w:t>
      </w:r>
      <w:r>
        <w:rPr>
          <w:rFonts w:eastAsiaTheme="minorHAnsi"/>
          <w:b/>
          <w:sz w:val="28"/>
          <w:szCs w:val="28"/>
        </w:rPr>
      </w:r>
    </w:p>
    <w:p>
      <w:pPr>
        <w:ind w:firstLine="709"/>
        <w:jc w:val="center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 xml:space="preserve">автомобильных дорог регионального, межмуниципального и </w:t>
      </w:r>
      <w:r>
        <w:rPr>
          <w:rFonts w:eastAsiaTheme="minorHAnsi"/>
          <w:b/>
          <w:sz w:val="28"/>
          <w:szCs w:val="28"/>
        </w:rPr>
      </w:r>
    </w:p>
    <w:p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</w:rPr>
        <w:t xml:space="preserve">местного значения» (далее – КПМ)</w:t>
      </w:r>
      <w:r>
        <w:rPr>
          <w:rFonts w:eastAsia="Calibri"/>
          <w:b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Основная задача КПМ – создание ус</w:t>
      </w:r>
      <w:r>
        <w:rPr>
          <w:sz w:val="28"/>
          <w:szCs w:val="28"/>
          <w:lang w:eastAsia="ar-SA"/>
        </w:rPr>
        <w:t xml:space="preserve">ловий для формирования единой дорожной сети, круглогодично доступной для населения, обеспечение автомобильного сообщения с отдаленными населенными пунктами области, требуемого технического состояния автомобильных дорог, повышение их пропускной способности.</w:t>
      </w:r>
      <w:r>
        <w:rPr>
          <w:sz w:val="28"/>
          <w:szCs w:val="28"/>
          <w:lang w:eastAsia="ar-SA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В рамках КПМ предусмотрено 15 результатов, из которых 9 результатов реализуется в 2024 году.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реализацию КПМ согласно утвержденной сводной бюджетной росписи по итогам 2024 года предусмотрены бюджетные ассигнования в объеме </w:t>
      </w:r>
      <w:r>
        <w:rPr>
          <w:bCs/>
          <w:sz w:val="28"/>
          <w:szCs w:val="28"/>
        </w:rPr>
        <w:t xml:space="preserve">10 325 925,9 </w:t>
      </w:r>
      <w:r>
        <w:rPr>
          <w:sz w:val="28"/>
          <w:szCs w:val="28"/>
        </w:rPr>
        <w:t xml:space="preserve">тыс. рублей. Кассовое освоение на 31.12.2024 составило</w:t>
      </w:r>
      <w:r>
        <w:rPr>
          <w:b/>
          <w:bCs/>
          <w:color w:val="000000"/>
        </w:rPr>
        <w:t xml:space="preserve"> </w:t>
      </w:r>
      <w:r>
        <w:rPr>
          <w:bCs/>
          <w:sz w:val="28"/>
          <w:szCs w:val="28"/>
        </w:rPr>
        <w:t xml:space="preserve">10 048 739,1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(97,31%).</w:t>
      </w:r>
      <w:r>
        <w:rPr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2024 год приведено в нормативное состояние 159,519 км автомобильных дорог регионального (межмуниципального) значения и 96,339 км автодорог местного значения.</w:t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отчетном году из федерального бюджета бюджету Оренбургской области было предусмотрено 1 303 151,6 тыс. рублей, из них:</w:t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в рамках РП РМДС – 560 651,60 тыс. рублей;</w:t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в рамках федерального проекта «Содействие развитию автомобильных дорог регионального, межмуниципального и местного значения» – 742 500,0 тыс. рублей. Кассовое освоение составило 100%. Показатели достигнуты. По результату «Протяженность сети автомобильны</w:t>
      </w:r>
      <w:r>
        <w:rPr>
          <w:bCs/>
          <w:sz w:val="28"/>
          <w:szCs w:val="28"/>
        </w:rPr>
        <w:t xml:space="preserve">х дорог общего пользования местного значения» фактическое значение по итогам 2024 года ниже планового, так как основывается на официальных данных, представленных территориальным органом Федеральной службы государственной статистики по Оренбургской области.</w:t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rPr>
          <w:color w:val="22272f"/>
          <w:sz w:val="23"/>
          <w:szCs w:val="23"/>
          <w:shd w:val="clear" w:color="auto" w:fill="ffffff"/>
        </w:rPr>
      </w:pPr>
      <w:r>
        <w:rPr>
          <w:color w:val="22272f"/>
          <w:sz w:val="23"/>
          <w:szCs w:val="23"/>
          <w:shd w:val="clear" w:color="auto" w:fill="ffffff"/>
        </w:rPr>
      </w:r>
      <w:r>
        <w:rPr>
          <w:color w:val="22272f"/>
          <w:sz w:val="23"/>
          <w:szCs w:val="23"/>
          <w:shd w:val="clear" w:color="auto" w:fill="ffffff"/>
        </w:rPr>
      </w:r>
    </w:p>
    <w:p>
      <w:pPr>
        <w:jc w:val="center"/>
        <w:rPr>
          <w:rFonts w:eastAsiaTheme="majorEastAsia"/>
          <w:b/>
          <w:sz w:val="28"/>
          <w:szCs w:val="28"/>
        </w:rPr>
      </w:pPr>
      <w:r>
        <w:rPr>
          <w:rFonts w:eastAsiaTheme="majorEastAsia"/>
          <w:b/>
          <w:sz w:val="28"/>
          <w:szCs w:val="28"/>
        </w:rPr>
        <w:t xml:space="preserve">4. Комплекс процессных мероприятий «Обеспечение доступности пассажирских перевозок для населения</w:t>
      </w:r>
      <w:r>
        <w:rPr>
          <w:rFonts w:eastAsiaTheme="majorEastAsia"/>
          <w:b/>
          <w:sz w:val="28"/>
          <w:szCs w:val="28"/>
        </w:rPr>
      </w:r>
    </w:p>
    <w:p>
      <w:pPr>
        <w:jc w:val="center"/>
        <w:rPr>
          <w:rFonts w:eastAsiaTheme="majorEastAsia"/>
          <w:b/>
          <w:sz w:val="28"/>
          <w:szCs w:val="28"/>
        </w:rPr>
      </w:pPr>
      <w:r>
        <w:rPr>
          <w:rFonts w:eastAsiaTheme="majorEastAsia"/>
          <w:b/>
          <w:sz w:val="28"/>
          <w:szCs w:val="28"/>
        </w:rPr>
        <w:t xml:space="preserve"> Оренбургской области» (далее – мероприятия).</w:t>
      </w:r>
      <w:r>
        <w:rPr>
          <w:rFonts w:eastAsiaTheme="majorEastAsia"/>
          <w:b/>
          <w:sz w:val="28"/>
          <w:szCs w:val="28"/>
        </w:rPr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168"/>
      </w:tblGrid>
      <w:tr>
        <w:tblPrEx/>
        <w:trPr>
          <w:cantSplit/>
          <w:trHeight w:val="20"/>
        </w:trPr>
        <w:tc>
          <w:tcPr>
            <w:shd w:val="clear" w:color="auto" w:fill="auto"/>
            <w:tcW w:w="15168" w:type="dxa"/>
            <w:vAlign w:val="bottom"/>
            <w:textDirection w:val="lrTb"/>
            <w:noWrap w:val="false"/>
          </w:tcPr>
          <w:p>
            <w:pPr>
              <w:jc w:val="both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</w:r>
            <w:r>
              <w:rPr>
                <w:b/>
                <w:bCs/>
                <w:color w:val="000000"/>
                <w:szCs w:val="28"/>
              </w:rPr>
            </w:r>
          </w:p>
        </w:tc>
      </w:tr>
      <w:tr>
        <w:tblPrEx/>
        <w:trPr>
          <w:cantSplit/>
          <w:trHeight w:val="80"/>
        </w:trPr>
        <w:tc>
          <w:tcPr>
            <w:shd w:val="clear" w:color="auto" w:fill="auto"/>
            <w:tcW w:w="15168" w:type="dxa"/>
            <w:vAlign w:val="bottom"/>
            <w:textDirection w:val="lrTb"/>
            <w:noWrap w:val="false"/>
          </w:tcPr>
          <w:p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задача КПМ – создание условий для стабильного функционирования пассажирского транспорта, обеспечения качества услуг общественного транспорта для всех категорий населения Оренбургской области. 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реализацию мероприятий согласно утвержденной сводной бюджетной росписи по итогам 2024 года предусмотрены бюджетные ассигнования в объеме 1 312 462,8 тыс. рублей. 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Освоено – 1 257 366,6 тыс. рублей, или 95,81 %.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</w:t>
      </w:r>
      <w:r>
        <w:rPr>
          <w:sz w:val="28"/>
          <w:szCs w:val="28"/>
        </w:rPr>
        <w:t xml:space="preserve">овышения доступности перевозок пассажиров железнодорожным транспортом в пригородном сообщении и увеличение объема перевозок пассажиров железнодорожным транспортом в пригородном сообщении согласно сводной бюджетной росписи в областном бюджете предусмотрено: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в</w:t>
      </w:r>
      <w:r>
        <w:rPr>
          <w:color w:val="000000"/>
          <w:sz w:val="28"/>
          <w:szCs w:val="28"/>
        </w:rPr>
        <w:t xml:space="preserve">озмещение организациям железнодорожного транспорта потерь в доходах, возникающих в результате государственного регулирования тарифов на перевозку пассажиров в пригородном сообщении</w:t>
      </w:r>
      <w:r>
        <w:rPr>
          <w:sz w:val="28"/>
          <w:szCs w:val="28"/>
        </w:rPr>
        <w:t xml:space="preserve">» – 337 619</w:t>
      </w:r>
      <w:r>
        <w:rPr>
          <w:color w:val="000000"/>
          <w:sz w:val="28"/>
          <w:szCs w:val="28"/>
        </w:rPr>
        <w:t xml:space="preserve">,8 тыс. </w:t>
      </w:r>
      <w:r>
        <w:rPr>
          <w:sz w:val="28"/>
          <w:szCs w:val="28"/>
        </w:rPr>
        <w:t xml:space="preserve">рублей;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возмещение организациям железнодорожного транспорта потерь в доходах, возникающих в связи с предоставлением льгот по проезду отдельным категориям граждан» </w:t>
      </w:r>
      <w:r>
        <w:rPr>
          <w:sz w:val="28"/>
          <w:szCs w:val="28"/>
        </w:rPr>
        <w:t xml:space="preserve">–  7</w:t>
      </w:r>
      <w:r>
        <w:rPr>
          <w:sz w:val="28"/>
          <w:szCs w:val="28"/>
        </w:rPr>
        <w:t xml:space="preserve"> 120,1 тыс. рублей.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Заключены соглашения с АО «Свердловская пригородная компания» и АО «Башкортостанская п</w:t>
      </w:r>
      <w:r>
        <w:rPr>
          <w:sz w:val="28"/>
          <w:szCs w:val="28"/>
        </w:rPr>
        <w:t xml:space="preserve">ригородная пассажирская компания» (далее – перевозчики) на организацию транспортного обслуживания населения железнодорожным транспортом в пригородном сообщении и о предоставлении субсидий из областного бюджета на возмещение потерь в доходах, возникающих в </w:t>
      </w:r>
      <w:r>
        <w:rPr>
          <w:bCs/>
          <w:sz w:val="28"/>
          <w:szCs w:val="28"/>
        </w:rPr>
        <w:t xml:space="preserve">результате государственного регулирования тарифов на перевозку пассажиров железнодорожным транспортом</w:t>
      </w:r>
      <w:r>
        <w:rPr>
          <w:sz w:val="28"/>
          <w:szCs w:val="28"/>
        </w:rPr>
        <w:t xml:space="preserve"> и в связи с предоставлением льгот по проезду на железнодорожном транспорте общего пользования в пригородном сообщении на территории Оренбургской области отдельным категориям граждан.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отчетном периоде на основании представленных отчетов перевозчиков из областного бюджета перечислено: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возмещение потерь в доходах, возникающих в результате государственного регулирования тарифов – 319 840,5 тыс. рублей, или   94,74 % от годовых назначений;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возмещение потерь в доходах, возникающих в связи с предоставлением льгот по проезду – 7 002,0 тыс. рублей, или 98,35 % от годовых назначений.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Перевезено в отчетном периоде в пассажирском пригородном железнодорожном транспорте 1 775,559 тыс. человек, в том числе 66,251 тыс. человек льготных категорий.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возмещение организациям железнодорожного транспорта потерь в доходах, возникающих в связи с предоставлением льгот по тарифам на проезд обучающихся и воспитанников общеобразовательных организаций, обучающихся </w:t>
      </w:r>
      <w:r>
        <w:rPr>
          <w:sz w:val="28"/>
          <w:szCs w:val="28"/>
        </w:rPr>
        <w:t xml:space="preserve">очной формы обучения образовательных организаций среднего професс</w:t>
      </w:r>
      <w:r>
        <w:rPr>
          <w:sz w:val="28"/>
          <w:szCs w:val="28"/>
        </w:rPr>
        <w:t xml:space="preserve">ионального и высшего образования железнодорожным транспортом общего пользования в пригородном сообщении согласно сводной бюджетной росписи выделено из областного бюджета 13 415,00 тыс. рублей. Освоено 11 564,6 тыс. рублей, или 86,21% от годовых назначений.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Перевезено в отчетном периоде в пассажирском пригородном железнодорожном транспорте 189,435 тыс. человек, воспользовавшихся льготой.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</w:t>
      </w:r>
      <w:r>
        <w:rPr>
          <w:color w:val="000000"/>
          <w:sz w:val="28"/>
          <w:szCs w:val="28"/>
        </w:rPr>
        <w:t xml:space="preserve">одействия повышению доступности воздушных перевозок населения на</w:t>
      </w:r>
      <w:r>
        <w:rPr>
          <w:iCs/>
          <w:sz w:val="28"/>
          <w:szCs w:val="28"/>
        </w:rPr>
        <w:t xml:space="preserve"> возмещение организациям воздушного транспорта недополученных доходов от осуществления региональных воздушных перевозок пассажиров на территории Российской Федерации по субсидируемым маршрутам в областном бюджете предусмотрено</w:t>
      </w:r>
      <w:r>
        <w:rPr>
          <w:sz w:val="28"/>
          <w:szCs w:val="28"/>
        </w:rPr>
        <w:t xml:space="preserve"> 129 299,9 тыс. рублей.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Заключены соглашения с авиакомпаниями: АО «Авиакомпания «Сибирь», АО «Ред Вингс», АО «ЮВТ АЭРО», ООО «Авиакомпания «Икар», ООО «Северный Ветер».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отчетном периоде на основании представленных отчетов авиакомпаний из областного бюджета перечислено 128 753,4 тыс. рублей, или 99,58 % от годовых назначений.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отчетном периоде: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выполнено 1017 рейсов;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перевезено воздушным транспортом 80,586 тыс. человек.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обеспечения осуществления отдельных государственных полномочий по организации перевозок граждан до территорий садоводческих и огороднических некоммерческих товариществ по межмуниципальным маршрутам и обратно в областном бюджете предусмотрено</w:t>
      </w:r>
      <w:r>
        <w:rPr>
          <w:sz w:val="28"/>
          <w:szCs w:val="28"/>
        </w:rPr>
        <w:t xml:space="preserve"> 52 190,8 тыс. рублей.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администрацией города Оренбурга заключено соглашение о предоставлении субвенции. 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отчетном периоде на основании представленного отчета администрации города Оренбурга перечислена субвенция в сумме 49 730,1 тыс. рублей, или               95,29 % от годовых назначений.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Перевезено в апреле-октябре 2023 года   888,273 тыс. человек.</w:t>
      </w:r>
      <w:r>
        <w:rPr>
          <w:sz w:val="28"/>
          <w:szCs w:val="28"/>
        </w:rPr>
      </w:r>
    </w:p>
    <w:p>
      <w:pPr>
        <w:ind w:right="-58" w:firstLine="709"/>
        <w:jc w:val="both"/>
        <w:tabs>
          <w:tab w:val="left" w:pos="-426" w:leader="none"/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равной доступности услуг общественного транспорта для отдельных категорий граждан на возмещение недополученных дох</w:t>
      </w:r>
      <w:r>
        <w:rPr>
          <w:sz w:val="28"/>
          <w:szCs w:val="28"/>
        </w:rPr>
        <w:t xml:space="preserve">одов в связи с обеспечением проезда граждан в пассажирском автомобильном и городском наземном электрическом транспорте общего пользования с использованием социальных проездных документов в областном бюджете предусмотрено              223 957,4 тыс. рублей.</w:t>
      </w:r>
      <w:r>
        <w:rPr>
          <w:sz w:val="28"/>
          <w:szCs w:val="28"/>
        </w:rPr>
      </w:r>
    </w:p>
    <w:p>
      <w:pPr>
        <w:ind w:right="-58" w:firstLine="720"/>
        <w:jc w:val="both"/>
        <w:tabs>
          <w:tab w:val="left" w:pos="-426" w:leader="none"/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Заключены соглашения о предоставлении субсидии </w:t>
      </w:r>
      <w:r>
        <w:rPr>
          <w:color w:val="000000"/>
          <w:sz w:val="28"/>
          <w:szCs w:val="28"/>
        </w:rPr>
        <w:t xml:space="preserve">с 36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перевозчиками, </w:t>
      </w:r>
      <w:r>
        <w:rPr>
          <w:sz w:val="28"/>
          <w:szCs w:val="28"/>
        </w:rPr>
        <w:t xml:space="preserve">осуществляющими перевозки граждан с использованием социальных проездных документов.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отчетном периоде </w:t>
      </w:r>
      <w:r>
        <w:rPr>
          <w:color w:val="000000"/>
          <w:sz w:val="28"/>
          <w:szCs w:val="28"/>
        </w:rPr>
        <w:t xml:space="preserve">согласно отчетов </w:t>
      </w:r>
      <w:r>
        <w:rPr>
          <w:sz w:val="28"/>
          <w:szCs w:val="28"/>
        </w:rPr>
        <w:t xml:space="preserve">перевозчиков </w:t>
      </w:r>
      <w:r>
        <w:rPr>
          <w:color w:val="000000"/>
          <w:sz w:val="28"/>
          <w:szCs w:val="28"/>
        </w:rPr>
        <w:t xml:space="preserve">перечислено</w:t>
      </w:r>
      <w:r>
        <w:rPr>
          <w:sz w:val="28"/>
          <w:szCs w:val="28"/>
        </w:rPr>
        <w:t xml:space="preserve"> 202 764,4 тыс. рублей, или 90,54 % от годовых назначений.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Перевезено в отчетном периоде в пассажирском автомобильном и городском наземном электрическом транспорте общего пользования с использованием социальных проездных документов 9 810,15 тыс. человек.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на оплаты услуг по размещению и обслуживанию социального транспортного приложения в составе универсальной карты жителя Оренбургской области в областном бюджете предусмотрено 2 660,0 тыс. рублей.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 государственный контракт с АО «ОРЭК».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отчетном периоде на основании документов, подтверждающих факт оказания услуг, перечислено 1 235,7 тыс. рублей.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предоставления субсидий бюджетам муниципальных образований на софинансирование расходов по ф</w:t>
      </w:r>
      <w:r>
        <w:rPr>
          <w:sz w:val="28"/>
          <w:szCs w:val="28"/>
        </w:rPr>
        <w:t xml:space="preserve">инансовому обеспечению затрат лизингополучателей, возникающих при оплате лизинговых платежей по договорам финансовой аренды (лизинга) подвижного состава наземного общественного транспорта (автобусов) в областном бюджете предусмотрено 546 199,8 тыс. рублей.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Заключено соглашение с администрацией города Оренбурга на суму               536 475,9 тыс. рублей.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Перечислено в отчетном периоде согласно графику платежей                             536 475,9 тыс. рублей, или 98,22 % от годовых назначений. 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Оплата лизинговых платежей, предусмотренных договорами лизинга, обеспечена в размере 100 процентов.</w:t>
      </w:r>
      <w:r>
        <w:rPr>
          <w:sz w:val="28"/>
          <w:szCs w:val="28"/>
        </w:rPr>
      </w:r>
    </w:p>
    <w:p>
      <w:pPr>
        <w:jc w:val="center"/>
        <w:rPr>
          <w:rFonts w:eastAsiaTheme="majorEastAsia"/>
          <w:b/>
          <w:sz w:val="28"/>
          <w:szCs w:val="28"/>
        </w:rPr>
      </w:pPr>
      <w:r>
        <w:rPr>
          <w:rFonts w:eastAsiaTheme="majorEastAsia"/>
          <w:b/>
          <w:sz w:val="28"/>
          <w:szCs w:val="28"/>
        </w:rPr>
      </w:r>
      <w:r>
        <w:rPr>
          <w:rFonts w:eastAsiaTheme="majorEastAsia"/>
          <w:b/>
          <w:sz w:val="28"/>
          <w:szCs w:val="28"/>
        </w:rPr>
      </w:r>
    </w:p>
    <w:p>
      <w:pPr>
        <w:jc w:val="both"/>
        <w:rPr>
          <w:rFonts w:eastAsiaTheme="majorEastAsia"/>
          <w:sz w:val="28"/>
          <w:szCs w:val="28"/>
        </w:rPr>
      </w:pPr>
      <w:r>
        <w:rPr>
          <w:rFonts w:eastAsiaTheme="majorEastAsia"/>
          <w:sz w:val="28"/>
          <w:szCs w:val="28"/>
        </w:rPr>
      </w:r>
      <w:r>
        <w:rPr>
          <w:rFonts w:eastAsiaTheme="majorEastAsia"/>
          <w:sz w:val="28"/>
          <w:szCs w:val="28"/>
        </w:rPr>
      </w:r>
    </w:p>
    <w:p>
      <w:pPr>
        <w:rPr>
          <w:rFonts w:eastAsiaTheme="majorEastAsia"/>
        </w:rPr>
      </w:pPr>
      <w:r>
        <w:rPr>
          <w:rFonts w:eastAsiaTheme="majorEastAsia"/>
        </w:rPr>
        <w:br w:type="page" w:clear="all"/>
      </w:r>
      <w:r>
        <w:rPr>
          <w:rFonts w:eastAsiaTheme="majorEastAsia"/>
        </w:rPr>
      </w:r>
    </w:p>
    <w:p>
      <w:pPr>
        <w:jc w:val="center"/>
        <w:rPr>
          <w:rFonts w:eastAsiaTheme="majorEastAsia"/>
          <w:b/>
          <w:sz w:val="28"/>
          <w:szCs w:val="28"/>
        </w:rPr>
      </w:pPr>
      <w:r>
        <w:rPr>
          <w:rFonts w:eastAsiaTheme="majorEastAsia"/>
          <w:b/>
          <w:sz w:val="28"/>
          <w:szCs w:val="28"/>
        </w:rPr>
        <w:t xml:space="preserve">Оценка эффективности реализации государственной программы за 2024 год</w:t>
      </w:r>
      <w:r>
        <w:rPr>
          <w:rFonts w:eastAsiaTheme="majorEastAsia"/>
          <w:b/>
          <w:sz w:val="28"/>
          <w:szCs w:val="28"/>
        </w:rPr>
      </w:r>
    </w:p>
    <w:p>
      <w:pPr>
        <w:jc w:val="center"/>
        <w:rPr>
          <w:rFonts w:eastAsiaTheme="majorEastAsia"/>
          <w:b/>
          <w:sz w:val="28"/>
          <w:szCs w:val="28"/>
        </w:rPr>
      </w:pPr>
      <w:r>
        <w:rPr>
          <w:rFonts w:eastAsiaTheme="majorEastAsia"/>
          <w:b/>
          <w:sz w:val="28"/>
          <w:szCs w:val="28"/>
        </w:rPr>
      </w:r>
      <w:r>
        <w:rPr>
          <w:rFonts w:eastAsiaTheme="majorEastAsia"/>
          <w:b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Оценка степени реализации задач структурных элементов</w:t>
      </w:r>
      <w:r>
        <w:rPr>
          <w:sz w:val="28"/>
          <w:szCs w:val="28"/>
        </w:rPr>
      </w:r>
    </w:p>
    <w:p>
      <w:pPr>
        <w:jc w:val="both"/>
        <w:rPr>
          <w:rFonts w:eastAsiaTheme="majorEastAsia"/>
          <w:sz w:val="28"/>
          <w:szCs w:val="28"/>
        </w:rPr>
      </w:pPr>
      <w:r>
        <w:rPr>
          <w:rFonts w:eastAsiaTheme="majorEastAsia"/>
          <w:sz w:val="28"/>
          <w:szCs w:val="28"/>
        </w:rPr>
      </w:r>
      <w:r>
        <w:rPr>
          <w:rFonts w:eastAsiaTheme="majorEastAsia"/>
          <w:sz w:val="28"/>
          <w:szCs w:val="28"/>
        </w:rPr>
      </w:r>
    </w:p>
    <w:p>
      <w:pPr>
        <w:jc w:val="center"/>
        <w:rPr>
          <w:rFonts w:eastAsiaTheme="majorEastAsia"/>
          <w:sz w:val="28"/>
          <w:szCs w:val="28"/>
        </w:rPr>
      </w:pPr>
      <w:r>
        <w:rPr>
          <w:rFonts w:eastAsiaTheme="majorEastAsia"/>
          <w:sz w:val="28"/>
          <w:szCs w:val="28"/>
        </w:rPr>
        <w:t xml:space="preserve">СР</w:t>
      </w:r>
      <w:r>
        <w:rPr>
          <w:rFonts w:eastAsiaTheme="majorEastAsia"/>
          <w:sz w:val="28"/>
          <w:szCs w:val="28"/>
          <w:vertAlign w:val="subscript"/>
        </w:rPr>
        <w:t xml:space="preserve">зсэ</w:t>
      </w:r>
      <w:r>
        <w:rPr>
          <w:rFonts w:eastAsiaTheme="majorEastAsia"/>
          <w:sz w:val="28"/>
          <w:szCs w:val="28"/>
        </w:rPr>
        <w:t xml:space="preserve">= П</w:t>
      </w:r>
      <w:r>
        <w:rPr>
          <w:rFonts w:eastAsiaTheme="majorEastAsia"/>
          <w:sz w:val="28"/>
          <w:szCs w:val="28"/>
          <w:vertAlign w:val="subscript"/>
        </w:rPr>
        <w:t xml:space="preserve">в</w:t>
      </w:r>
      <w:r>
        <w:rPr>
          <w:rFonts w:eastAsiaTheme="majorEastAsia"/>
          <w:sz w:val="28"/>
          <w:szCs w:val="28"/>
        </w:rPr>
        <w:t xml:space="preserve">/П,</w:t>
      </w:r>
      <w:r>
        <w:rPr>
          <w:rFonts w:eastAsiaTheme="majorEastAsia"/>
          <w:sz w:val="28"/>
          <w:szCs w:val="28"/>
        </w:rPr>
      </w:r>
    </w:p>
    <w:p>
      <w:pPr>
        <w:jc w:val="center"/>
        <w:rPr>
          <w:rFonts w:eastAsiaTheme="majorEastAsia"/>
          <w:sz w:val="28"/>
          <w:szCs w:val="28"/>
        </w:rPr>
      </w:pPr>
      <w:r>
        <w:rPr>
          <w:rFonts w:eastAsiaTheme="majorEastAsia"/>
          <w:sz w:val="28"/>
          <w:szCs w:val="28"/>
        </w:rPr>
      </w:r>
      <w:r>
        <w:rPr>
          <w:rFonts w:eastAsiaTheme="majorEastAsia"/>
          <w:sz w:val="28"/>
          <w:szCs w:val="28"/>
        </w:rPr>
      </w:r>
    </w:p>
    <w:tbl>
      <w:tblPr>
        <w:tblStyle w:val="877"/>
        <w:tblW w:w="9981" w:type="dxa"/>
        <w:jc w:val="center"/>
        <w:tblLook w:val="04A0" w:firstRow="1" w:lastRow="0" w:firstColumn="1" w:lastColumn="0" w:noHBand="0" w:noVBand="1"/>
      </w:tblPr>
      <w:tblGrid>
        <w:gridCol w:w="486"/>
        <w:gridCol w:w="3084"/>
        <w:gridCol w:w="2237"/>
        <w:gridCol w:w="2757"/>
        <w:gridCol w:w="1417"/>
      </w:tblGrid>
      <w:tr>
        <w:tblPrEx/>
        <w:trPr>
          <w:jc w:val="center"/>
          <w:trHeight w:val="1969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п/п</w:t>
            </w:r>
            <w:r>
              <w:rPr>
                <w:sz w:val="20"/>
                <w:szCs w:val="20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структурного элемента, задач структурного элемента</w:t>
            </w:r>
            <w:r>
              <w:rPr>
                <w:sz w:val="20"/>
                <w:szCs w:val="20"/>
              </w:rPr>
            </w:r>
          </w:p>
        </w:tc>
        <w:tc>
          <w:tcPr>
            <w:tcW w:w="223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 xml:space="preserve">Количество результатов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-ой задачи структурного элемента, фактическое значение которых достигнуто на уровне не менее 95% от запланированных, </w:t>
            </w:r>
            <w:r>
              <w:rPr>
                <w:rFonts w:eastAsiaTheme="majorEastAsia"/>
                <w:sz w:val="28"/>
                <w:szCs w:val="28"/>
              </w:rPr>
              <w:t xml:space="preserve">П</w:t>
            </w:r>
            <w:r>
              <w:rPr>
                <w:rFonts w:eastAsiaTheme="majorEastAsia"/>
                <w:sz w:val="28"/>
                <w:szCs w:val="28"/>
                <w:vertAlign w:val="subscript"/>
              </w:rPr>
              <w:t xml:space="preserve">в</w:t>
            </w:r>
            <w:r>
              <w:rPr>
                <w:sz w:val="20"/>
                <w:szCs w:val="20"/>
                <w:vertAlign w:val="subscript"/>
              </w:rPr>
            </w:r>
          </w:p>
        </w:tc>
        <w:tc>
          <w:tcPr>
            <w:tcW w:w="27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результатов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-ой задачи структурного элемента, </w:t>
            </w:r>
            <w:r>
              <w:rPr>
                <w:rFonts w:eastAsiaTheme="majorEastAsia"/>
                <w:sz w:val="28"/>
                <w:szCs w:val="28"/>
              </w:rPr>
              <w:t xml:space="preserve">П</w:t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Степень реализации структурного элемента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</w:t>
            </w:r>
            <w:r>
              <w:rPr>
                <w:sz w:val="20"/>
                <w:szCs w:val="20"/>
                <w:vertAlign w:val="subscript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1261"/>
        </w:trPr>
        <w:tc>
          <w:tcPr>
            <w:tcW w:w="486" w:type="dxa"/>
            <w:textDirection w:val="lrTb"/>
            <w:noWrap w:val="false"/>
          </w:tcPr>
          <w:p>
            <w:pPr>
              <w:jc w:val="both"/>
            </w:pPr>
            <w:r>
              <w:t xml:space="preserve">1.</w:t>
            </w:r>
            <w:r/>
          </w:p>
        </w:tc>
        <w:tc>
          <w:tcPr>
            <w:tcW w:w="3084" w:type="dxa"/>
            <w:textDirection w:val="lrTb"/>
            <w:noWrap w:val="false"/>
          </w:tcPr>
          <w:p>
            <w:r>
              <w:t xml:space="preserve">Региональный проект «Региональная и местная дорожная сеть (Оренбургская область)»</w:t>
            </w:r>
            <w:r/>
          </w:p>
        </w:tc>
        <w:tc>
          <w:tcPr>
            <w:tcW w:w="223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75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jc w:val="center"/>
        </w:trPr>
        <w:tc>
          <w:tcPr>
            <w:tcW w:w="486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W w:w="3084" w:type="dxa"/>
            <w:textDirection w:val="lrTb"/>
            <w:noWrap w:val="false"/>
          </w:tcPr>
          <w:p>
            <w:r>
              <w:t xml:space="preserve">Задача 1 «Повышено качество дорожной сети, в том числе уличной сети, городских агломераций»</w:t>
            </w:r>
            <w:r/>
          </w:p>
        </w:tc>
        <w:tc>
          <w:tcPr>
            <w:tcW w:w="2237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2757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1,0</w:t>
            </w:r>
            <w:r/>
          </w:p>
        </w:tc>
      </w:tr>
      <w:tr>
        <w:tblPrEx/>
        <w:trPr>
          <w:jc w:val="center"/>
        </w:trPr>
        <w:tc>
          <w:tcPr>
            <w:tcW w:w="486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W w:w="3084" w:type="dxa"/>
            <w:textDirection w:val="lrTb"/>
            <w:noWrap w:val="false"/>
          </w:tcPr>
          <w:p>
            <w:r>
              <w:t xml:space="preserve">Задача 2 «Приведены в нормативное состояние/построены искусственные сооружения на автомобильных дорогах регионального или межмуниципального и местного значения»</w:t>
            </w:r>
            <w:r/>
          </w:p>
        </w:tc>
        <w:tc>
          <w:tcPr>
            <w:tcW w:w="2237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2757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1,0</w:t>
            </w:r>
            <w:r/>
          </w:p>
        </w:tc>
      </w:tr>
      <w:tr>
        <w:tblPrEx/>
        <w:trPr>
          <w:jc w:val="center"/>
        </w:trPr>
        <w:tc>
          <w:tcPr>
            <w:tcW w:w="486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W w:w="3084" w:type="dxa"/>
            <w:textDirection w:val="lrTb"/>
            <w:noWrap w:val="false"/>
          </w:tcPr>
          <w:p>
            <w:r>
              <w:t xml:space="preserve">Итого</w:t>
            </w:r>
            <w:r/>
          </w:p>
        </w:tc>
        <w:tc>
          <w:tcPr>
            <w:tcW w:w="223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75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1,0</w:t>
            </w:r>
            <w:r/>
          </w:p>
        </w:tc>
      </w:tr>
      <w:tr>
        <w:tblPrEx/>
        <w:trPr>
          <w:jc w:val="center"/>
        </w:trPr>
        <w:tc>
          <w:tcPr>
            <w:tcW w:w="486" w:type="dxa"/>
            <w:textDirection w:val="lrTb"/>
            <w:noWrap w:val="false"/>
          </w:tcPr>
          <w:p>
            <w:pPr>
              <w:jc w:val="both"/>
            </w:pPr>
            <w:r>
              <w:t xml:space="preserve">2.</w:t>
            </w:r>
            <w:r/>
          </w:p>
        </w:tc>
        <w:tc>
          <w:tcPr>
            <w:tcW w:w="3084" w:type="dxa"/>
            <w:textDirection w:val="lrTb"/>
            <w:noWrap w:val="false"/>
          </w:tcPr>
          <w:p>
            <w:r>
              <w:t xml:space="preserve">Региональный проект «Общесистемные меры развития дорожного хозяйства» </w:t>
            </w:r>
            <w:r/>
          </w:p>
        </w:tc>
        <w:tc>
          <w:tcPr>
            <w:tcW w:w="223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75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jc w:val="center"/>
        </w:trPr>
        <w:tc>
          <w:tcPr>
            <w:tcW w:w="486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Задача 1 «Совершенствование регуляторной политики и применения новых технологий в дорожной отрасли»</w:t>
            </w:r>
            <w:r>
              <w:rPr>
                <w:highlight w:val="white"/>
              </w:rPr>
            </w:r>
          </w:p>
        </w:tc>
        <w:tc>
          <w:tcPr>
            <w:tcW w:w="223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</w:r>
          </w:p>
        </w:tc>
        <w:tc>
          <w:tcPr>
            <w:tcW w:w="27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1,0</w:t>
            </w:r>
            <w:r>
              <w:rPr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tcW w:w="486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Итого</w:t>
            </w:r>
            <w:r>
              <w:rPr>
                <w:highlight w:val="white"/>
              </w:rPr>
            </w:r>
          </w:p>
        </w:tc>
        <w:tc>
          <w:tcPr>
            <w:tcW w:w="223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7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1,0</w:t>
            </w:r>
            <w:r>
              <w:rPr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tcW w:w="486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3.</w:t>
            </w:r>
            <w:r>
              <w:rPr>
                <w:highlight w:val="white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Комплекс процессных мероприятий «Развитие сети автомобильных дорог регионального, межмуниципального и местного значения» </w:t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</w:r>
          </w:p>
        </w:tc>
        <w:tc>
          <w:tcPr>
            <w:tcW w:w="223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7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tcW w:w="486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Задача 1 «Создание условий для формирования единой дорожной сети, круглогодично доступной </w:t>
            </w:r>
            <w:r>
              <w:rPr>
                <w:highlight w:val="white"/>
              </w:rPr>
              <w:t xml:space="preserve">для населения, обеспечение автомобильного сообщения с отдаленными населенными пунктами области, требуемого технического состояния автомобильных дорог, повышение их пропускной способности»</w:t>
            </w:r>
            <w:r>
              <w:rPr>
                <w:highlight w:val="white"/>
              </w:rPr>
            </w:r>
          </w:p>
        </w:tc>
        <w:tc>
          <w:tcPr>
            <w:tcW w:w="223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</w:t>
            </w:r>
            <w:r>
              <w:rPr>
                <w:highlight w:val="white"/>
              </w:rPr>
            </w:r>
          </w:p>
        </w:tc>
        <w:tc>
          <w:tcPr>
            <w:tcW w:w="27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</w:t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1,0</w:t>
            </w:r>
            <w:r>
              <w:rPr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tcW w:w="486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Задача 2 «Ликвидация последствий чрезвычайной ситуации, вызванной в результате прохождения весеннего </w:t>
            </w:r>
            <w:r>
              <w:rPr>
                <w:highlight w:val="white"/>
              </w:rPr>
              <w:t xml:space="preserve">паводка  на</w:t>
            </w:r>
            <w:r>
              <w:rPr>
                <w:highlight w:val="white"/>
              </w:rPr>
              <w:t xml:space="preserve"> территории Оренбургской области в 2024 году»</w:t>
            </w:r>
            <w:r>
              <w:rPr>
                <w:highlight w:val="white"/>
              </w:rPr>
            </w:r>
          </w:p>
        </w:tc>
        <w:tc>
          <w:tcPr>
            <w:tcW w:w="223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tcW w:w="27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1,0</w:t>
            </w:r>
            <w:r>
              <w:rPr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tcW w:w="486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Итого</w:t>
            </w:r>
            <w:r>
              <w:rPr>
                <w:highlight w:val="white"/>
              </w:rPr>
            </w:r>
          </w:p>
        </w:tc>
        <w:tc>
          <w:tcPr>
            <w:tcW w:w="223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7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1,0</w:t>
            </w:r>
            <w:r>
              <w:rPr>
                <w:highlight w:val="white"/>
              </w:rPr>
            </w:r>
          </w:p>
        </w:tc>
      </w:tr>
      <w:tr>
        <w:tblPrEx/>
        <w:trPr>
          <w:jc w:val="center"/>
          <w:trHeight w:val="1548"/>
        </w:trPr>
        <w:tc>
          <w:tcPr>
            <w:tcW w:w="486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4.</w:t>
            </w:r>
            <w:r>
              <w:rPr>
                <w:highlight w:val="white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Комплекс процессных мероприятий «Обеспечение доступности пассажирских перевозок для населения Оренбургской области»</w:t>
            </w:r>
            <w:r>
              <w:rPr>
                <w:highlight w:val="white"/>
              </w:rPr>
            </w:r>
          </w:p>
        </w:tc>
        <w:tc>
          <w:tcPr>
            <w:tcW w:w="223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7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tcW w:w="486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Задача 1 «Создание условий для стабильного функционирования пассажирского транспорта, обеспечения качества услуг общественного транспорта для всех категорий населения Оренбургской области»</w:t>
            </w:r>
            <w:r>
              <w:rPr>
                <w:highlight w:val="white"/>
              </w:rPr>
            </w:r>
          </w:p>
        </w:tc>
        <w:tc>
          <w:tcPr>
            <w:tcW w:w="223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</w:t>
            </w:r>
            <w:r>
              <w:rPr>
                <w:highlight w:val="white"/>
              </w:rPr>
            </w:r>
          </w:p>
        </w:tc>
        <w:tc>
          <w:tcPr>
            <w:tcW w:w="27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11</w:t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0,909</w:t>
            </w:r>
            <w:r>
              <w:rPr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tcW w:w="486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Итого</w:t>
            </w:r>
            <w:r>
              <w:rPr>
                <w:highlight w:val="white"/>
              </w:rPr>
            </w:r>
          </w:p>
        </w:tc>
        <w:tc>
          <w:tcPr>
            <w:tcW w:w="223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7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0,909</w:t>
            </w:r>
            <w:r>
              <w:rPr>
                <w:highlight w:val="white"/>
              </w:rPr>
            </w:r>
          </w:p>
        </w:tc>
      </w:tr>
    </w:tbl>
    <w:p>
      <w:pPr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center"/>
        <w:rPr>
          <w:sz w:val="28"/>
          <w:highlight w:val="white"/>
        </w:rPr>
      </w:pPr>
      <w:r>
        <w:rPr>
          <w:sz w:val="28"/>
          <w:highlight w:val="white"/>
        </w:rPr>
        <w:t xml:space="preserve">2. Оценка степени соответствия произведенных затрат запланированным затратам</w:t>
      </w:r>
      <w:r>
        <w:rPr>
          <w:sz w:val="28"/>
          <w:highlight w:val="white"/>
        </w:rPr>
      </w:r>
    </w:p>
    <w:p>
      <w:pPr>
        <w:jc w:val="center"/>
        <w:rPr>
          <w:sz w:val="28"/>
          <w:highlight w:val="white"/>
        </w:rPr>
      </w:pP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Степень соответствия произведенных затрат запланированным затратам рассчитывается для каждого структурного элемента государственной программы.</w:t>
      </w:r>
      <w:r>
        <w:rPr>
          <w:sz w:val="28"/>
          <w:highlight w:val="white"/>
        </w:rPr>
      </w:r>
    </w:p>
    <w:p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rPr>
          <w:sz w:val="28"/>
          <w:szCs w:val="28"/>
          <w:highlight w:val="white"/>
          <w:vertAlign w:val="subscript"/>
        </w:rPr>
      </w:pPr>
      <w:r>
        <w:rPr>
          <w:sz w:val="28"/>
          <w:szCs w:val="28"/>
          <w:highlight w:val="white"/>
        </w:rPr>
        <w:t xml:space="preserve">СС</w:t>
      </w:r>
      <w:r>
        <w:rPr>
          <w:sz w:val="28"/>
          <w:szCs w:val="28"/>
          <w:highlight w:val="white"/>
          <w:vertAlign w:val="subscript"/>
        </w:rPr>
        <w:t xml:space="preserve">уз</w:t>
      </w:r>
      <w:r>
        <w:rPr>
          <w:sz w:val="28"/>
          <w:szCs w:val="28"/>
          <w:highlight w:val="white"/>
        </w:rPr>
        <w:t xml:space="preserve">= З</w:t>
      </w:r>
      <w:r>
        <w:rPr>
          <w:sz w:val="28"/>
          <w:szCs w:val="28"/>
          <w:highlight w:val="white"/>
          <w:vertAlign w:val="subscript"/>
        </w:rPr>
        <w:t xml:space="preserve">ф</w:t>
      </w:r>
      <w:r>
        <w:rPr>
          <w:sz w:val="28"/>
          <w:szCs w:val="28"/>
          <w:highlight w:val="white"/>
        </w:rPr>
        <w:t xml:space="preserve">/З</w:t>
      </w:r>
      <w:r>
        <w:rPr>
          <w:sz w:val="28"/>
          <w:szCs w:val="28"/>
          <w:highlight w:val="white"/>
          <w:vertAlign w:val="subscript"/>
        </w:rPr>
        <w:t xml:space="preserve">п</w:t>
      </w:r>
      <w:r>
        <w:rPr>
          <w:sz w:val="28"/>
          <w:szCs w:val="28"/>
          <w:highlight w:val="white"/>
          <w:vertAlign w:val="subscript"/>
        </w:rPr>
      </w:r>
    </w:p>
    <w:p>
      <w:pPr>
        <w:jc w:val="center"/>
        <w:rPr>
          <w:sz w:val="28"/>
          <w:szCs w:val="28"/>
          <w:highlight w:val="white"/>
          <w:vertAlign w:val="subscript"/>
        </w:rPr>
      </w:pPr>
      <w:r>
        <w:rPr>
          <w:sz w:val="28"/>
          <w:szCs w:val="28"/>
          <w:highlight w:val="white"/>
          <w:vertAlign w:val="subscript"/>
        </w:rPr>
      </w:r>
      <w:r>
        <w:rPr>
          <w:sz w:val="28"/>
          <w:szCs w:val="28"/>
          <w:highlight w:val="white"/>
          <w:vertAlign w:val="subscript"/>
        </w:rPr>
      </w:r>
    </w:p>
    <w:tbl>
      <w:tblPr>
        <w:tblStyle w:val="877"/>
        <w:tblW w:w="9981" w:type="dxa"/>
        <w:jc w:val="center"/>
        <w:tblLook w:val="04A0" w:firstRow="1" w:lastRow="0" w:firstColumn="1" w:lastColumn="0" w:noHBand="0" w:noVBand="1"/>
      </w:tblPr>
      <w:tblGrid>
        <w:gridCol w:w="486"/>
        <w:gridCol w:w="5463"/>
        <w:gridCol w:w="1559"/>
        <w:gridCol w:w="1559"/>
        <w:gridCol w:w="914"/>
      </w:tblGrid>
      <w:tr>
        <w:tblPrEx/>
        <w:trPr>
          <w:jc w:val="center"/>
          <w:trHeight w:val="856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№ п/п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4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Наименование структурного элемента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bscript"/>
              </w:rPr>
            </w:pPr>
            <w:r>
              <w:rPr>
                <w:sz w:val="28"/>
                <w:szCs w:val="28"/>
                <w:highlight w:val="white"/>
              </w:rPr>
              <w:t xml:space="preserve">З</w:t>
            </w:r>
            <w:r>
              <w:rPr>
                <w:sz w:val="28"/>
                <w:szCs w:val="28"/>
                <w:highlight w:val="white"/>
                <w:vertAlign w:val="subscript"/>
              </w:rPr>
              <w:t xml:space="preserve">ф</w:t>
            </w:r>
            <w:r>
              <w:rPr>
                <w:sz w:val="20"/>
                <w:szCs w:val="20"/>
                <w:highlight w:val="white"/>
                <w:vertAlign w:val="subscript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</w:t>
            </w:r>
            <w:r>
              <w:rPr>
                <w:sz w:val="28"/>
                <w:szCs w:val="28"/>
                <w:highlight w:val="white"/>
                <w:vertAlign w:val="subscript"/>
              </w:rPr>
              <w:t xml:space="preserve">п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1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СС</w:t>
            </w:r>
            <w:r>
              <w:rPr>
                <w:sz w:val="28"/>
                <w:szCs w:val="28"/>
                <w:highlight w:val="white"/>
                <w:vertAlign w:val="subscript"/>
              </w:rPr>
              <w:t xml:space="preserve">уз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839"/>
        </w:trPr>
        <w:tc>
          <w:tcPr>
            <w:tcW w:w="486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1.</w:t>
            </w:r>
            <w:r>
              <w:rPr>
                <w:highlight w:val="white"/>
              </w:rPr>
            </w:r>
          </w:p>
        </w:tc>
        <w:tc>
          <w:tcPr>
            <w:tcW w:w="5463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Региональный проект «Региональная и местная дорожная сеть (Оренбургская область)»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ajorEastAsia"/>
                <w:highlight w:val="white"/>
              </w:rPr>
            </w:pPr>
            <w:r>
              <w:rPr>
                <w:rFonts w:eastAsiaTheme="majorEastAsia"/>
                <w:highlight w:val="white"/>
              </w:rPr>
              <w:t xml:space="preserve">5 227 297, 6</w:t>
            </w:r>
            <w:r>
              <w:rPr>
                <w:rFonts w:eastAsiaTheme="majorEastAsia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ajorEastAsia"/>
                <w:highlight w:val="white"/>
              </w:rPr>
            </w:pPr>
            <w:r>
              <w:rPr>
                <w:rFonts w:eastAsiaTheme="majorEastAsia"/>
                <w:highlight w:val="white"/>
              </w:rPr>
              <w:t xml:space="preserve">5 227 297, 6</w:t>
            </w:r>
            <w:r>
              <w:rPr>
                <w:rFonts w:eastAsiaTheme="majorEastAsia"/>
                <w:highlight w:val="white"/>
              </w:rPr>
            </w:r>
          </w:p>
        </w:tc>
        <w:tc>
          <w:tcPr>
            <w:tcW w:w="9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ajorEastAsia"/>
                <w:highlight w:val="white"/>
              </w:rPr>
            </w:pPr>
            <w:r>
              <w:rPr>
                <w:rFonts w:eastAsiaTheme="majorEastAsia"/>
                <w:highlight w:val="white"/>
              </w:rPr>
              <w:t xml:space="preserve">1,0</w:t>
            </w:r>
            <w:r>
              <w:rPr>
                <w:rFonts w:eastAsiaTheme="majorEastAsia"/>
                <w:highlight w:val="white"/>
              </w:rPr>
            </w:r>
          </w:p>
        </w:tc>
      </w:tr>
      <w:tr>
        <w:tblPrEx/>
        <w:trPr>
          <w:jc w:val="center"/>
          <w:trHeight w:val="696"/>
        </w:trPr>
        <w:tc>
          <w:tcPr>
            <w:tcW w:w="486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2.</w:t>
            </w:r>
            <w:r>
              <w:rPr>
                <w:highlight w:val="white"/>
              </w:rPr>
            </w:r>
          </w:p>
        </w:tc>
        <w:tc>
          <w:tcPr>
            <w:tcW w:w="5463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Региональный проект «Общесистемные меры развития дорожного хозяйства» 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ajorEastAsia"/>
                <w:highlight w:val="white"/>
              </w:rPr>
            </w:pPr>
            <w:r>
              <w:rPr>
                <w:rFonts w:eastAsiaTheme="majorEastAsia"/>
                <w:highlight w:val="white"/>
              </w:rPr>
              <w:t xml:space="preserve">0</w:t>
            </w:r>
            <w:r>
              <w:rPr>
                <w:rFonts w:eastAsiaTheme="majorEastAsia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ajorEastAsia"/>
                <w:highlight w:val="white"/>
              </w:rPr>
            </w:pPr>
            <w:r>
              <w:rPr>
                <w:rFonts w:eastAsiaTheme="majorEastAsia"/>
                <w:highlight w:val="white"/>
              </w:rPr>
              <w:t xml:space="preserve">0</w:t>
            </w:r>
            <w:r>
              <w:rPr>
                <w:rFonts w:eastAsiaTheme="majorEastAsia"/>
                <w:highlight w:val="white"/>
              </w:rPr>
            </w:r>
          </w:p>
        </w:tc>
        <w:tc>
          <w:tcPr>
            <w:tcW w:w="9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ajorEastAsia"/>
                <w:highlight w:val="white"/>
              </w:rPr>
            </w:pPr>
            <w:r>
              <w:rPr>
                <w:rFonts w:eastAsiaTheme="majorEastAsia"/>
                <w:highlight w:val="white"/>
              </w:rPr>
              <w:t xml:space="preserve">0</w:t>
            </w:r>
            <w:r>
              <w:rPr>
                <w:rFonts w:eastAsiaTheme="majorEastAsia"/>
                <w:highlight w:val="white"/>
              </w:rPr>
            </w:r>
          </w:p>
        </w:tc>
      </w:tr>
      <w:tr>
        <w:tblPrEx/>
        <w:trPr>
          <w:jc w:val="center"/>
          <w:trHeight w:val="989"/>
        </w:trPr>
        <w:tc>
          <w:tcPr>
            <w:tcW w:w="486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3.</w:t>
            </w:r>
            <w:r>
              <w:rPr>
                <w:highlight w:val="white"/>
              </w:rPr>
            </w:r>
          </w:p>
        </w:tc>
        <w:tc>
          <w:tcPr>
            <w:tcW w:w="5463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Комплекс процессных мероприятий «Развитие сети автомобильных дорог регионального, межмуниципального и местного значения» </w:t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</w:r>
            <w:r>
              <w:rPr>
                <w:bCs/>
                <w:color w:val="000000"/>
                <w:highlight w:val="white"/>
              </w:rPr>
            </w:r>
          </w:p>
          <w:p>
            <w:pPr>
              <w:jc w:val="center"/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 xml:space="preserve">10 048 739,1</w:t>
            </w:r>
            <w:r>
              <w:rPr>
                <w:bCs/>
                <w:color w:val="000000"/>
                <w:highlight w:val="white"/>
              </w:rPr>
            </w:r>
          </w:p>
          <w:p>
            <w:pPr>
              <w:jc w:val="center"/>
              <w:rPr>
                <w:rFonts w:eastAsiaTheme="majorEastAsia"/>
                <w:highlight w:val="white"/>
              </w:rPr>
            </w:pPr>
            <w:r>
              <w:rPr>
                <w:rFonts w:eastAsiaTheme="majorEastAsia"/>
                <w:highlight w:val="white"/>
              </w:rPr>
            </w:r>
            <w:r>
              <w:rPr>
                <w:rFonts w:eastAsiaTheme="majorEastAsia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  <w:lang w:val="en-US"/>
              </w:rPr>
            </w:r>
            <w:r>
              <w:rPr>
                <w:bCs/>
                <w:color w:val="000000"/>
                <w:highlight w:val="white"/>
              </w:rPr>
            </w:r>
          </w:p>
          <w:p>
            <w:pPr>
              <w:jc w:val="center"/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  <w:lang w:val="en-US"/>
              </w:rPr>
              <w:t xml:space="preserve">10 325 925</w:t>
            </w:r>
            <w:r>
              <w:rPr>
                <w:bCs/>
                <w:color w:val="000000"/>
                <w:highlight w:val="white"/>
              </w:rPr>
              <w:t xml:space="preserve">,</w:t>
            </w:r>
            <w:r>
              <w:rPr>
                <w:bCs/>
                <w:color w:val="000000"/>
                <w:highlight w:val="white"/>
                <w:lang w:val="en-US"/>
              </w:rPr>
              <w:t xml:space="preserve">9</w:t>
            </w:r>
            <w:r>
              <w:rPr>
                <w:bCs/>
                <w:color w:val="000000"/>
                <w:highlight w:val="white"/>
              </w:rPr>
            </w:r>
          </w:p>
          <w:p>
            <w:pPr>
              <w:jc w:val="center"/>
              <w:rPr>
                <w:rFonts w:eastAsiaTheme="majorEastAsia"/>
                <w:highlight w:val="white"/>
              </w:rPr>
            </w:pPr>
            <w:r>
              <w:rPr>
                <w:rFonts w:eastAsiaTheme="majorEastAsia"/>
                <w:highlight w:val="white"/>
              </w:rPr>
            </w:r>
            <w:r>
              <w:rPr>
                <w:rFonts w:eastAsiaTheme="majorEastAsia"/>
                <w:highlight w:val="white"/>
              </w:rPr>
            </w:r>
          </w:p>
        </w:tc>
        <w:tc>
          <w:tcPr>
            <w:tcW w:w="9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ajorEastAsia"/>
                <w:highlight w:val="white"/>
              </w:rPr>
            </w:pPr>
            <w:r>
              <w:rPr>
                <w:rFonts w:eastAsiaTheme="majorEastAsia"/>
                <w:highlight w:val="white"/>
              </w:rPr>
              <w:t xml:space="preserve">0,9</w:t>
            </w:r>
            <w:r>
              <w:rPr>
                <w:rFonts w:eastAsiaTheme="majorEastAsia"/>
                <w:highlight w:val="white"/>
                <w:lang w:val="en-US"/>
              </w:rPr>
              <w:t xml:space="preserve">73</w:t>
            </w:r>
            <w:r>
              <w:rPr>
                <w:rFonts w:eastAsiaTheme="majorEastAsia"/>
                <w:highlight w:val="white"/>
              </w:rPr>
            </w:r>
          </w:p>
        </w:tc>
      </w:tr>
      <w:tr>
        <w:tblPrEx/>
        <w:trPr>
          <w:jc w:val="center"/>
          <w:trHeight w:val="976"/>
        </w:trPr>
        <w:tc>
          <w:tcPr>
            <w:tcW w:w="486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4.</w:t>
            </w:r>
            <w:r>
              <w:rPr>
                <w:highlight w:val="white"/>
              </w:rPr>
            </w:r>
          </w:p>
        </w:tc>
        <w:tc>
          <w:tcPr>
            <w:tcW w:w="5463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Комплекс процессных мероприятий «Обеспечение доступности пассажирских перевозок для населения Оренбургской области»</w:t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</w:r>
            <w:r>
              <w:rPr>
                <w:bCs/>
                <w:color w:val="000000"/>
                <w:highlight w:val="white"/>
              </w:rPr>
            </w:r>
          </w:p>
          <w:p>
            <w:pPr>
              <w:jc w:val="center"/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 xml:space="preserve">1 257 366,6</w:t>
            </w:r>
            <w:r>
              <w:rPr>
                <w:bCs/>
                <w:color w:val="000000"/>
                <w:highlight w:val="white"/>
              </w:rPr>
            </w:r>
          </w:p>
          <w:p>
            <w:pPr>
              <w:jc w:val="center"/>
              <w:rPr>
                <w:rFonts w:eastAsiaTheme="majorEastAsia"/>
                <w:highlight w:val="white"/>
              </w:rPr>
            </w:pPr>
            <w:r>
              <w:rPr>
                <w:rFonts w:eastAsiaTheme="majorEastAsia"/>
                <w:highlight w:val="white"/>
              </w:rPr>
            </w:r>
            <w:r>
              <w:rPr>
                <w:rFonts w:eastAsiaTheme="majorEastAsia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</w:r>
            <w:r>
              <w:rPr>
                <w:bCs/>
                <w:color w:val="000000"/>
                <w:highlight w:val="white"/>
              </w:rPr>
            </w:r>
          </w:p>
          <w:p>
            <w:pPr>
              <w:jc w:val="center"/>
              <w:rPr>
                <w:bCs/>
                <w:color w:val="000000"/>
                <w:highlight w:val="white"/>
              </w:rPr>
            </w:pPr>
            <w:r>
              <w:rPr>
                <w:bCs/>
                <w:color w:val="000000"/>
                <w:highlight w:val="white"/>
              </w:rPr>
              <w:t xml:space="preserve">1 312 462,8</w:t>
            </w:r>
            <w:r>
              <w:rPr>
                <w:bCs/>
                <w:color w:val="000000"/>
                <w:highlight w:val="white"/>
              </w:rPr>
            </w:r>
          </w:p>
          <w:p>
            <w:pPr>
              <w:jc w:val="center"/>
              <w:rPr>
                <w:rFonts w:eastAsiaTheme="majorEastAsia"/>
                <w:highlight w:val="white"/>
              </w:rPr>
            </w:pPr>
            <w:r>
              <w:rPr>
                <w:rFonts w:eastAsiaTheme="majorEastAsia"/>
                <w:highlight w:val="white"/>
              </w:rPr>
            </w:r>
            <w:r>
              <w:rPr>
                <w:rFonts w:eastAsiaTheme="majorEastAsia"/>
                <w:highlight w:val="white"/>
              </w:rPr>
            </w:r>
          </w:p>
        </w:tc>
        <w:tc>
          <w:tcPr>
            <w:tcW w:w="9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ajorEastAsia"/>
                <w:highlight w:val="white"/>
              </w:rPr>
            </w:pPr>
            <w:r>
              <w:rPr>
                <w:rFonts w:eastAsiaTheme="majorEastAsia"/>
                <w:highlight w:val="white"/>
              </w:rPr>
              <w:t xml:space="preserve">0,958</w:t>
            </w:r>
            <w:r>
              <w:rPr>
                <w:rFonts w:eastAsiaTheme="majorEastAsia"/>
                <w:highlight w:val="white"/>
              </w:rPr>
            </w:r>
          </w:p>
        </w:tc>
      </w:tr>
    </w:tbl>
    <w:p>
      <w:pPr>
        <w:jc w:val="center"/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center"/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ind w:firstLine="709"/>
        <w:jc w:val="both"/>
        <w:keepNext/>
        <w:rPr>
          <w:sz w:val="28"/>
          <w:szCs w:val="28"/>
          <w:highlight w:val="white"/>
        </w:rPr>
        <w:outlineLvl w:val="2"/>
      </w:pPr>
      <w:r>
        <w:rPr>
          <w:sz w:val="28"/>
          <w:szCs w:val="28"/>
          <w:highlight w:val="white"/>
        </w:rPr>
        <w:t xml:space="preserve">3. Оценка эффективности использования средств областного бюджета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keepNext/>
        <w:rPr>
          <w:sz w:val="28"/>
          <w:szCs w:val="28"/>
          <w:highlight w:val="white"/>
        </w:rPr>
        <w:outlineLvl w:val="2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Эффективность использования средств областного бюджета рассчитывается для каждого структурного элемента.</w:t>
      </w:r>
      <w:r>
        <w:rPr>
          <w:sz w:val="28"/>
          <w:szCs w:val="28"/>
          <w:highlight w:val="white"/>
        </w:rPr>
      </w:r>
    </w:p>
    <w:p>
      <w:pPr>
        <w:ind w:firstLine="709"/>
        <w:jc w:val="center"/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ind w:firstLine="709"/>
        <w:jc w:val="center"/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  <w:t xml:space="preserve">Э ис=СР зсэ-СС уз</w:t>
      </w:r>
      <w:r>
        <w:rPr>
          <w:rFonts w:eastAsiaTheme="majorEastAsia"/>
          <w:sz w:val="28"/>
          <w:szCs w:val="28"/>
          <w:highlight w:val="white"/>
        </w:rPr>
      </w:r>
    </w:p>
    <w:p>
      <w:pPr>
        <w:ind w:firstLine="709"/>
        <w:jc w:val="center"/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tbl>
      <w:tblPr>
        <w:tblStyle w:val="877"/>
        <w:tblW w:w="10060" w:type="dxa"/>
        <w:jc w:val="center"/>
        <w:tblLook w:val="04A0" w:firstRow="1" w:lastRow="0" w:firstColumn="1" w:lastColumn="0" w:noHBand="0" w:noVBand="1"/>
      </w:tblPr>
      <w:tblGrid>
        <w:gridCol w:w="486"/>
        <w:gridCol w:w="6172"/>
        <w:gridCol w:w="1134"/>
        <w:gridCol w:w="1417"/>
        <w:gridCol w:w="851"/>
      </w:tblGrid>
      <w:tr>
        <w:tblPrEx/>
        <w:trPr>
          <w:jc w:val="center"/>
          <w:trHeight w:val="856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№ п/п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17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Наименование структурного элемента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bscript"/>
              </w:rPr>
            </w:pPr>
            <w:r>
              <w:rPr>
                <w:rFonts w:eastAsiaTheme="majorEastAsia"/>
                <w:sz w:val="28"/>
                <w:szCs w:val="28"/>
                <w:highlight w:val="white"/>
              </w:rPr>
              <w:t xml:space="preserve">СР зсэ</w:t>
            </w:r>
            <w:r>
              <w:rPr>
                <w:sz w:val="20"/>
                <w:szCs w:val="20"/>
                <w:highlight w:val="white"/>
                <w:vertAlign w:val="subscript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Theme="majorEastAsia"/>
                <w:sz w:val="28"/>
                <w:szCs w:val="28"/>
                <w:highlight w:val="white"/>
              </w:rPr>
            </w:pPr>
            <w:r>
              <w:rPr>
                <w:rFonts w:eastAsiaTheme="majorEastAsia"/>
                <w:sz w:val="28"/>
                <w:szCs w:val="28"/>
                <w:highlight w:val="white"/>
              </w:rPr>
              <w:t xml:space="preserve">СС уз</w:t>
            </w:r>
            <w:r>
              <w:rPr>
                <w:rFonts w:eastAsiaTheme="majorEastAsia"/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rFonts w:eastAsiaTheme="majorEastAsia"/>
                <w:sz w:val="28"/>
                <w:szCs w:val="28"/>
                <w:highlight w:val="white"/>
              </w:rPr>
              <w:t xml:space="preserve">Э ис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714"/>
        </w:trPr>
        <w:tc>
          <w:tcPr>
            <w:tcW w:w="486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1.</w:t>
            </w:r>
            <w:r>
              <w:rPr>
                <w:highlight w:val="white"/>
              </w:rPr>
            </w:r>
          </w:p>
        </w:tc>
        <w:tc>
          <w:tcPr>
            <w:tcW w:w="6172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Региональный проект «Региональная и местная дорожная сеть (Оренбургская область)»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ajorEastAsia"/>
                <w:highlight w:val="white"/>
              </w:rPr>
            </w:pPr>
            <w:r>
              <w:rPr>
                <w:rFonts w:eastAsiaTheme="majorEastAsia"/>
                <w:highlight w:val="white"/>
              </w:rPr>
              <w:t xml:space="preserve">1,0</w:t>
            </w:r>
            <w:r>
              <w:rPr>
                <w:rFonts w:eastAsiaTheme="majorEastAsia"/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ajorEastAsia"/>
                <w:highlight w:val="white"/>
              </w:rPr>
            </w:pPr>
            <w:r>
              <w:rPr>
                <w:rFonts w:eastAsiaTheme="majorEastAsia"/>
                <w:highlight w:val="white"/>
              </w:rPr>
              <w:t xml:space="preserve">1,0</w:t>
            </w:r>
            <w:r>
              <w:rPr>
                <w:rFonts w:eastAsiaTheme="majorEastAsia"/>
                <w:highlight w:val="white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ajorEastAsia"/>
                <w:highlight w:val="white"/>
              </w:rPr>
            </w:pPr>
            <w:r>
              <w:rPr>
                <w:rFonts w:eastAsiaTheme="majorEastAsia"/>
                <w:highlight w:val="white"/>
              </w:rPr>
              <w:t xml:space="preserve">1</w:t>
            </w:r>
            <w:r>
              <w:rPr>
                <w:rFonts w:eastAsiaTheme="majorEastAsia"/>
                <w:highlight w:val="white"/>
              </w:rPr>
            </w:r>
          </w:p>
        </w:tc>
      </w:tr>
      <w:tr>
        <w:tblPrEx/>
        <w:trPr>
          <w:jc w:val="center"/>
          <w:trHeight w:val="706"/>
        </w:trPr>
        <w:tc>
          <w:tcPr>
            <w:tcW w:w="486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2.</w:t>
            </w:r>
            <w:r>
              <w:rPr>
                <w:highlight w:val="white"/>
              </w:rPr>
            </w:r>
          </w:p>
        </w:tc>
        <w:tc>
          <w:tcPr>
            <w:tcW w:w="6172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Региональный проект «Общесистемные меры развития дорожного хозяйства» 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ajorEastAsia"/>
                <w:highlight w:val="white"/>
              </w:rPr>
            </w:pPr>
            <w:r>
              <w:rPr>
                <w:rFonts w:eastAsiaTheme="majorEastAsia"/>
                <w:highlight w:val="white"/>
              </w:rPr>
              <w:t xml:space="preserve">1,0</w:t>
            </w:r>
            <w:r>
              <w:rPr>
                <w:rFonts w:eastAsiaTheme="majorEastAsia"/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ajorEastAsia"/>
                <w:highlight w:val="white"/>
              </w:rPr>
            </w:pPr>
            <w:r>
              <w:rPr>
                <w:rFonts w:eastAsiaTheme="majorEastAsia"/>
                <w:highlight w:val="white"/>
              </w:rPr>
              <w:t xml:space="preserve">0</w:t>
            </w:r>
            <w:r>
              <w:rPr>
                <w:rFonts w:eastAsiaTheme="majorEastAsia"/>
                <w:highlight w:val="white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ajorEastAsia"/>
                <w:highlight w:val="white"/>
              </w:rPr>
            </w:pPr>
            <w:r>
              <w:rPr>
                <w:rFonts w:eastAsiaTheme="majorEastAsia"/>
                <w:highlight w:val="white"/>
              </w:rPr>
              <w:t xml:space="preserve">1</w:t>
            </w:r>
            <w:r>
              <w:rPr>
                <w:rFonts w:eastAsiaTheme="majorEastAsia"/>
                <w:highlight w:val="white"/>
              </w:rPr>
            </w:r>
          </w:p>
        </w:tc>
      </w:tr>
      <w:tr>
        <w:tblPrEx/>
        <w:trPr>
          <w:jc w:val="center"/>
          <w:trHeight w:val="1023"/>
        </w:trPr>
        <w:tc>
          <w:tcPr>
            <w:tcW w:w="486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3.</w:t>
            </w:r>
            <w:r>
              <w:rPr>
                <w:highlight w:val="white"/>
              </w:rPr>
            </w:r>
          </w:p>
        </w:tc>
        <w:tc>
          <w:tcPr>
            <w:tcW w:w="6172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Комплекс процессных мероприятий «Развитие сети автомобильных дорог регионального, межмуниципального и местного значения» </w:t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ajorEastAsia"/>
                <w:highlight w:val="white"/>
              </w:rPr>
            </w:pPr>
            <w:r>
              <w:rPr>
                <w:rFonts w:eastAsiaTheme="majorEastAsia"/>
                <w:highlight w:val="white"/>
              </w:rPr>
              <w:t xml:space="preserve">1</w:t>
            </w:r>
            <w:r>
              <w:rPr>
                <w:rFonts w:eastAsiaTheme="majorEastAsia"/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ajorEastAsia"/>
                <w:highlight w:val="white"/>
              </w:rPr>
            </w:pPr>
            <w:r>
              <w:rPr>
                <w:rFonts w:eastAsiaTheme="majorEastAsia"/>
                <w:highlight w:val="white"/>
              </w:rPr>
              <w:t xml:space="preserve">0,9</w:t>
            </w:r>
            <w:r>
              <w:rPr>
                <w:rFonts w:eastAsiaTheme="majorEastAsia"/>
                <w:highlight w:val="white"/>
                <w:lang w:val="en-US"/>
              </w:rPr>
              <w:t xml:space="preserve">7</w:t>
            </w:r>
            <w:r>
              <w:rPr>
                <w:rFonts w:eastAsiaTheme="majorEastAsia"/>
                <w:highlight w:val="white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ajorEastAsia"/>
                <w:highlight w:val="white"/>
              </w:rPr>
            </w:pPr>
            <w:r>
              <w:rPr>
                <w:rFonts w:eastAsiaTheme="majorEastAsia"/>
                <w:highlight w:val="white"/>
              </w:rPr>
              <w:t xml:space="preserve">1</w:t>
            </w:r>
            <w:r>
              <w:rPr>
                <w:rFonts w:eastAsiaTheme="majorEastAsia"/>
                <w:highlight w:val="white"/>
              </w:rPr>
            </w:r>
          </w:p>
        </w:tc>
      </w:tr>
      <w:tr>
        <w:tblPrEx/>
        <w:trPr>
          <w:jc w:val="center"/>
          <w:trHeight w:val="998"/>
        </w:trPr>
        <w:tc>
          <w:tcPr>
            <w:tcW w:w="486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4.</w:t>
            </w:r>
            <w:r>
              <w:rPr>
                <w:highlight w:val="white"/>
              </w:rPr>
            </w:r>
          </w:p>
        </w:tc>
        <w:tc>
          <w:tcPr>
            <w:tcW w:w="6172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Комплекс процессных мероприятий «Обеспечение доступности пассажирских перевозок для населения Оренбургской области»</w:t>
            </w:r>
            <w:r>
              <w:rPr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ajorEastAsia"/>
                <w:highlight w:val="white"/>
              </w:rPr>
            </w:pPr>
            <w:r>
              <w:rPr>
                <w:rFonts w:eastAsiaTheme="majorEastAsia"/>
                <w:highlight w:val="white"/>
              </w:rPr>
              <w:t xml:space="preserve">0,82</w:t>
            </w:r>
            <w:r>
              <w:rPr>
                <w:rFonts w:eastAsiaTheme="majorEastAsia"/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ajorEastAsia"/>
                <w:highlight w:val="white"/>
              </w:rPr>
            </w:pPr>
            <w:r>
              <w:rPr>
                <w:rFonts w:eastAsiaTheme="majorEastAsia"/>
                <w:highlight w:val="white"/>
              </w:rPr>
              <w:t xml:space="preserve">0,96</w:t>
            </w:r>
            <w:r>
              <w:rPr>
                <w:rFonts w:eastAsiaTheme="majorEastAsia"/>
                <w:highlight w:val="white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ajorEastAsia"/>
                <w:highlight w:val="white"/>
              </w:rPr>
            </w:pPr>
            <w:r>
              <w:rPr>
                <w:rFonts w:eastAsiaTheme="majorEastAsia"/>
                <w:highlight w:val="white"/>
              </w:rPr>
              <w:t xml:space="preserve">0,9</w:t>
            </w:r>
            <w:r>
              <w:rPr>
                <w:rFonts w:eastAsiaTheme="majorEastAsia"/>
                <w:highlight w:val="white"/>
              </w:rPr>
            </w:r>
          </w:p>
        </w:tc>
      </w:tr>
    </w:tbl>
    <w:p>
      <w:pPr>
        <w:ind w:firstLine="709"/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ind w:firstLine="709"/>
        <w:jc w:val="center"/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ind w:firstLine="709"/>
        <w:jc w:val="center"/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  <w:t xml:space="preserve">4. Оценка степени решения задач структурных элементов</w:t>
      </w:r>
      <w:r>
        <w:rPr>
          <w:rFonts w:eastAsiaTheme="majorEastAsia"/>
          <w:sz w:val="28"/>
          <w:szCs w:val="28"/>
          <w:highlight w:val="white"/>
        </w:rPr>
      </w:r>
    </w:p>
    <w:p>
      <w:pPr>
        <w:ind w:firstLine="709"/>
        <w:jc w:val="center"/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ind w:firstLine="709"/>
        <w:jc w:val="center"/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  <w:t xml:space="preserve">СД п/ппз=ЗП п/пф/ЗП п/пп</w:t>
      </w:r>
      <w:r>
        <w:rPr>
          <w:rFonts w:eastAsiaTheme="majorEastAsia"/>
          <w:sz w:val="28"/>
          <w:szCs w:val="28"/>
          <w:highlight w:val="white"/>
        </w:rPr>
      </w:r>
    </w:p>
    <w:p>
      <w:pPr>
        <w:ind w:firstLine="709"/>
        <w:jc w:val="center"/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ind w:firstLine="709"/>
        <w:jc w:val="center"/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tbl>
      <w:tblPr>
        <w:tblW w:w="8980" w:type="dxa"/>
        <w:tblLook w:val="04A0" w:firstRow="1" w:lastRow="0" w:firstColumn="1" w:lastColumn="0" w:noHBand="0" w:noVBand="1"/>
      </w:tblPr>
      <w:tblGrid>
        <w:gridCol w:w="500"/>
        <w:gridCol w:w="4480"/>
        <w:gridCol w:w="1300"/>
        <w:gridCol w:w="1260"/>
        <w:gridCol w:w="1440"/>
      </w:tblGrid>
      <w:tr>
        <w:tblPrEx/>
        <w:trPr>
          <w:trHeight w:val="71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498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Наименование результата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rFonts w:eastAsiaTheme="majorEastAsia"/>
                <w:sz w:val="28"/>
                <w:szCs w:val="28"/>
                <w:highlight w:val="white"/>
              </w:rPr>
              <w:t xml:space="preserve">ЗП п/пп</w:t>
            </w:r>
            <w:r>
              <w:rPr>
                <w:color w:val="000000"/>
                <w:highlight w:val="white"/>
              </w:rPr>
              <w:t xml:space="preserve"> 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rFonts w:eastAsiaTheme="majorEastAsia"/>
                <w:sz w:val="28"/>
                <w:szCs w:val="28"/>
                <w:highlight w:val="white"/>
              </w:rPr>
              <w:t xml:space="preserve">ЗП п/пф</w:t>
            </w:r>
            <w:r>
              <w:rPr>
                <w:color w:val="000000"/>
                <w:highlight w:val="white"/>
              </w:rPr>
              <w:t xml:space="preserve"> 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rFonts w:eastAsiaTheme="majorEastAsia"/>
                <w:sz w:val="28"/>
                <w:szCs w:val="28"/>
                <w:highlight w:val="white"/>
              </w:rPr>
              <w:t xml:space="preserve">СД п/ппз</w:t>
            </w:r>
            <w:r>
              <w:rPr>
                <w:color w:val="000000"/>
                <w:highlight w:val="white"/>
              </w:rPr>
              <w:t xml:space="preserve"> 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837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Региональный проект "Региональная и местная дорожная сеть (Оренбургская область)"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704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Задача 1 «Повышено качество дорожной сети, в том числе уличной сети городских агломераций»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127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80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Обеспечено выполнение работ по приведению в нормативное состояние автомобильных дорог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1110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Задача 2 «Приведены в нормативное состояние/построены искусственные сооружения на автомобильных дорогах регионального или межмуниципального и местного значения»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199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80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Приведены в нормативное состояние автомобильные дороги регионального или межмуниципального, местного значения и искусственные дорожные сооружения на них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</w:p>
        </w:tc>
      </w:tr>
    </w:tbl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jc w:val="center"/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center"/>
        <w:rPr>
          <w:rFonts w:eastAsiaTheme="majorEastAsia"/>
          <w:sz w:val="28"/>
          <w:szCs w:val="28"/>
          <w:highlight w:val="white"/>
          <w:vertAlign w:val="subscript"/>
        </w:rPr>
      </w:pPr>
      <w:r>
        <w:rPr>
          <w:rFonts w:eastAsiaTheme="majorEastAsia"/>
          <w:sz w:val="28"/>
          <w:szCs w:val="28"/>
          <w:highlight w:val="white"/>
        </w:rPr>
        <w:t xml:space="preserve">СР </w:t>
      </w:r>
      <w:r>
        <w:rPr>
          <w:rFonts w:eastAsiaTheme="majorEastAsia"/>
          <w:sz w:val="28"/>
          <w:szCs w:val="28"/>
          <w:highlight w:val="white"/>
          <w:vertAlign w:val="subscript"/>
        </w:rPr>
        <w:t xml:space="preserve">сэ</w:t>
      </w:r>
      <w:r>
        <w:rPr>
          <w:rFonts w:eastAsiaTheme="majorEastAsia"/>
          <w:sz w:val="28"/>
          <w:szCs w:val="28"/>
          <w:highlight w:val="white"/>
        </w:rPr>
        <w:t xml:space="preserve">= ∑</w:t>
      </w:r>
      <w:r>
        <w:rPr>
          <w:rFonts w:eastAsiaTheme="majorEastAsia"/>
          <w:sz w:val="28"/>
          <w:szCs w:val="28"/>
          <w:highlight w:val="white"/>
          <w:vertAlign w:val="superscript"/>
        </w:rPr>
        <w:t xml:space="preserve"> </w:t>
      </w:r>
      <w:r>
        <w:rPr>
          <w:rFonts w:eastAsiaTheme="majorEastAsia"/>
          <w:sz w:val="28"/>
          <w:szCs w:val="28"/>
          <w:highlight w:val="white"/>
          <w:vertAlign w:val="superscript"/>
          <w:lang w:val="en-US"/>
        </w:rPr>
        <w:t xml:space="preserve">N</w:t>
      </w:r>
      <w:r>
        <w:rPr>
          <w:rFonts w:eastAsiaTheme="majorEastAsia"/>
          <w:sz w:val="28"/>
          <w:szCs w:val="28"/>
          <w:highlight w:val="white"/>
        </w:rPr>
        <w:t xml:space="preserve"> СД </w:t>
      </w:r>
      <w:r>
        <w:rPr>
          <w:rFonts w:eastAsiaTheme="majorEastAsia"/>
          <w:sz w:val="28"/>
          <w:szCs w:val="28"/>
          <w:highlight w:val="white"/>
          <w:vertAlign w:val="subscript"/>
        </w:rPr>
        <w:t xml:space="preserve">п/ппз </w:t>
      </w:r>
      <w:r>
        <w:rPr>
          <w:rFonts w:eastAsiaTheme="majorEastAsia"/>
          <w:sz w:val="28"/>
          <w:szCs w:val="28"/>
          <w:highlight w:val="white"/>
        </w:rPr>
        <w:t xml:space="preserve">/ </w:t>
      </w:r>
      <w:r>
        <w:rPr>
          <w:rFonts w:eastAsiaTheme="majorEastAsia"/>
          <w:sz w:val="28"/>
          <w:szCs w:val="28"/>
          <w:highlight w:val="white"/>
          <w:lang w:val="en-US"/>
        </w:rPr>
        <w:t xml:space="preserve">N</w:t>
      </w:r>
      <w:r>
        <w:rPr>
          <w:rFonts w:eastAsiaTheme="majorEastAsia"/>
          <w:sz w:val="28"/>
          <w:szCs w:val="28"/>
          <w:highlight w:val="white"/>
        </w:rPr>
        <w:t xml:space="preserve"> =2/2 = 1</w:t>
      </w:r>
      <w:r>
        <w:rPr>
          <w:rFonts w:eastAsiaTheme="majorEastAsia"/>
          <w:sz w:val="28"/>
          <w:szCs w:val="28"/>
          <w:highlight w:val="white"/>
          <w:vertAlign w:val="subscript"/>
        </w:rPr>
      </w:r>
    </w:p>
    <w:p>
      <w:pPr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  <w:vertAlign w:val="superscript"/>
        </w:rPr>
        <w:t xml:space="preserve">                                                                                                       1</w:t>
      </w:r>
      <w:r>
        <w:rPr>
          <w:rFonts w:eastAsiaTheme="majorEastAsia"/>
          <w:sz w:val="28"/>
          <w:szCs w:val="28"/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tbl>
      <w:tblPr>
        <w:tblW w:w="8980" w:type="dxa"/>
        <w:tblLook w:val="04A0" w:firstRow="1" w:lastRow="0" w:firstColumn="1" w:lastColumn="0" w:noHBand="0" w:noVBand="1"/>
      </w:tblPr>
      <w:tblGrid>
        <w:gridCol w:w="500"/>
        <w:gridCol w:w="4480"/>
        <w:gridCol w:w="1300"/>
        <w:gridCol w:w="1260"/>
        <w:gridCol w:w="1440"/>
      </w:tblGrid>
      <w:tr>
        <w:tblPrEx/>
        <w:trPr>
          <w:trHeight w:val="834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Региональный проект «Общесистемные меры развития дорожного хозяйства» 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768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Задача 1 «</w:t>
            </w:r>
            <w:r>
              <w:rPr>
                <w:highlight w:val="white"/>
              </w:rPr>
              <w:t xml:space="preserve">Совершенствование регуляторной политики и применения новых технологий в дорожной отрасли</w:t>
            </w:r>
            <w:r>
              <w:rPr>
                <w:color w:val="000000"/>
                <w:highlight w:val="white"/>
              </w:rPr>
              <w:t xml:space="preserve">»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154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80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highlight w:val="white"/>
                <w:lang w:eastAsia="ar-SA"/>
              </w:rPr>
              <w:t xml:space="preserve">Размещены автоматические пункты весогабаритного контроля транспортных средств на автомобильных дорогах регионального или межмуниципального, местного значения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13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13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18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80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Установлены стационарные камеры фотовидеофиксации нарушений правил дорожного движения на автомобильных дорогах федерального, регионального или межмуниципального, местного значения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125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125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</w:p>
        </w:tc>
      </w:tr>
    </w:tbl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jc w:val="center"/>
        <w:rPr>
          <w:rFonts w:eastAsiaTheme="majorEastAsia"/>
          <w:sz w:val="28"/>
          <w:szCs w:val="28"/>
          <w:highlight w:val="white"/>
          <w:vertAlign w:val="subscript"/>
        </w:rPr>
      </w:pPr>
      <w:r>
        <w:rPr>
          <w:rFonts w:eastAsiaTheme="majorEastAsia"/>
          <w:sz w:val="28"/>
          <w:szCs w:val="28"/>
          <w:highlight w:val="white"/>
        </w:rPr>
        <w:t xml:space="preserve">СР </w:t>
      </w:r>
      <w:r>
        <w:rPr>
          <w:rFonts w:eastAsiaTheme="majorEastAsia"/>
          <w:sz w:val="28"/>
          <w:szCs w:val="28"/>
          <w:highlight w:val="white"/>
          <w:vertAlign w:val="subscript"/>
        </w:rPr>
        <w:t xml:space="preserve">сэ</w:t>
      </w:r>
      <w:r>
        <w:rPr>
          <w:rFonts w:eastAsiaTheme="majorEastAsia"/>
          <w:sz w:val="28"/>
          <w:szCs w:val="28"/>
          <w:highlight w:val="white"/>
        </w:rPr>
        <w:t xml:space="preserve">= ∑</w:t>
      </w:r>
      <w:r>
        <w:rPr>
          <w:rFonts w:eastAsiaTheme="majorEastAsia"/>
          <w:sz w:val="28"/>
          <w:szCs w:val="28"/>
          <w:highlight w:val="white"/>
          <w:vertAlign w:val="superscript"/>
        </w:rPr>
        <w:t xml:space="preserve"> </w:t>
      </w:r>
      <w:r>
        <w:rPr>
          <w:rFonts w:eastAsiaTheme="majorEastAsia"/>
          <w:sz w:val="28"/>
          <w:szCs w:val="28"/>
          <w:highlight w:val="white"/>
          <w:vertAlign w:val="superscript"/>
          <w:lang w:val="en-US"/>
        </w:rPr>
        <w:t xml:space="preserve">N</w:t>
      </w:r>
      <w:r>
        <w:rPr>
          <w:rFonts w:eastAsiaTheme="majorEastAsia"/>
          <w:sz w:val="28"/>
          <w:szCs w:val="28"/>
          <w:highlight w:val="white"/>
        </w:rPr>
        <w:t xml:space="preserve"> СД </w:t>
      </w:r>
      <w:r>
        <w:rPr>
          <w:rFonts w:eastAsiaTheme="majorEastAsia"/>
          <w:sz w:val="28"/>
          <w:szCs w:val="28"/>
          <w:highlight w:val="white"/>
          <w:vertAlign w:val="subscript"/>
        </w:rPr>
        <w:t xml:space="preserve">п/ппз </w:t>
      </w:r>
      <w:r>
        <w:rPr>
          <w:rFonts w:eastAsiaTheme="majorEastAsia"/>
          <w:sz w:val="28"/>
          <w:szCs w:val="28"/>
          <w:highlight w:val="white"/>
        </w:rPr>
        <w:t xml:space="preserve">/ </w:t>
      </w:r>
      <w:r>
        <w:rPr>
          <w:rFonts w:eastAsiaTheme="majorEastAsia"/>
          <w:sz w:val="28"/>
          <w:szCs w:val="28"/>
          <w:highlight w:val="white"/>
          <w:lang w:val="en-US"/>
        </w:rPr>
        <w:t xml:space="preserve">N</w:t>
      </w:r>
      <w:r>
        <w:rPr>
          <w:rFonts w:eastAsiaTheme="majorEastAsia"/>
          <w:sz w:val="28"/>
          <w:szCs w:val="28"/>
          <w:highlight w:val="white"/>
        </w:rPr>
        <w:t xml:space="preserve"> =3/3 = 1</w:t>
      </w:r>
      <w:r>
        <w:rPr>
          <w:rFonts w:eastAsiaTheme="majorEastAsia"/>
          <w:sz w:val="28"/>
          <w:szCs w:val="28"/>
          <w:highlight w:val="white"/>
          <w:vertAlign w:val="subscript"/>
        </w:rPr>
      </w:r>
    </w:p>
    <w:p>
      <w:pPr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  <w:vertAlign w:val="superscript"/>
        </w:rPr>
        <w:t xml:space="preserve">                                                                                                       </w:t>
      </w:r>
      <w:r>
        <w:rPr>
          <w:rFonts w:eastAsiaTheme="majorEastAsia"/>
          <w:sz w:val="28"/>
          <w:szCs w:val="28"/>
          <w:highlight w:val="white"/>
          <w:vertAlign w:val="superscript"/>
          <w:lang w:val="en-US"/>
        </w:rPr>
        <w:t xml:space="preserve">1</w:t>
      </w:r>
      <w:r>
        <w:rPr>
          <w:rFonts w:eastAsiaTheme="majorEastAsia"/>
          <w:sz w:val="28"/>
          <w:szCs w:val="28"/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tbl>
      <w:tblPr>
        <w:tblW w:w="8980" w:type="dxa"/>
        <w:tblLook w:val="04A0" w:firstRow="1" w:lastRow="0" w:firstColumn="1" w:lastColumn="0" w:noHBand="0" w:noVBand="1"/>
      </w:tblPr>
      <w:tblGrid>
        <w:gridCol w:w="500"/>
        <w:gridCol w:w="4480"/>
        <w:gridCol w:w="1300"/>
        <w:gridCol w:w="1260"/>
        <w:gridCol w:w="1440"/>
      </w:tblGrid>
      <w:tr>
        <w:tblPrEx/>
        <w:trPr>
          <w:trHeight w:val="810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Комплекс процессных мероприятий «Развитие сети автомобильных дорог регионального, межмуниципального и местного значения»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1365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Задача 1 «Создание ус</w:t>
            </w:r>
            <w:r>
              <w:rPr>
                <w:color w:val="000000"/>
                <w:highlight w:val="white"/>
              </w:rPr>
              <w:t xml:space="preserve">ловий для формирования единой дорожной сети, круглогодично доступной для населения, обеспечение автомобильного сообщения с отдаленными населенными пунктами области, требуемого технического состояния автомобильных дорог, повышение их пропускной способности»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268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80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Прирост протяженности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5,568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5,568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268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80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Прирост протяженности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76,55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159,519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225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80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90,0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val="en-US"/>
              </w:rPr>
              <w:t xml:space="preserve">96</w:t>
            </w:r>
            <w:r>
              <w:rPr>
                <w:color w:val="000000"/>
                <w:highlight w:val="white"/>
              </w:rPr>
              <w:t xml:space="preserve">,</w:t>
            </w:r>
            <w:r>
              <w:rPr>
                <w:color w:val="000000"/>
                <w:highlight w:val="white"/>
                <w:lang w:val="en-US"/>
              </w:rPr>
              <w:t xml:space="preserve">339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238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80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Общая протяженность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на 31 декабря отчетного года 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4 650,55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4 810,06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214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5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80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6 923,61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6 994,11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12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6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80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Протяженность сети автомобильных дорог общего пользования регионального и межмуниципального значения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11 639,69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11 639,69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11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7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80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Протяженность сети автомобильных дорог общего пользования местного значения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12 291,30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12 125,8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0,987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165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8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80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Площадь твердого покрытия автомобильных дорог общего пользования населенных пунктов после капитального ремонта и ремонта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750,00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799,84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184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9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80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Осуществление мероприятий в рамках дорожной деятельности на автомобильных дорогах общего пользования местного значения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1,00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1,00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866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Задача 2 «Ликвидация последствий чрезвычайной ситуации, вызванной в результате прохождения весеннего паводка на территории Оренбургской области в 2024 году»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184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80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Выполнены мероприятия по восстановлению автомобильных дорог местного значения при ликвидации последствий чрезвычайной ситуации в Оренбургской области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</w:p>
        </w:tc>
      </w:tr>
    </w:tbl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jc w:val="center"/>
        <w:rPr>
          <w:rFonts w:eastAsiaTheme="majorEastAsia"/>
          <w:sz w:val="28"/>
          <w:szCs w:val="28"/>
          <w:highlight w:val="white"/>
          <w:vertAlign w:val="subscript"/>
        </w:rPr>
      </w:pPr>
      <w:r>
        <w:rPr>
          <w:rFonts w:eastAsiaTheme="majorEastAsia"/>
          <w:sz w:val="28"/>
          <w:szCs w:val="28"/>
          <w:highlight w:val="white"/>
        </w:rPr>
        <w:t xml:space="preserve">СР </w:t>
      </w:r>
      <w:r>
        <w:rPr>
          <w:rFonts w:eastAsiaTheme="majorEastAsia"/>
          <w:sz w:val="28"/>
          <w:szCs w:val="28"/>
          <w:highlight w:val="white"/>
          <w:vertAlign w:val="subscript"/>
        </w:rPr>
        <w:t xml:space="preserve">сэ</w:t>
      </w:r>
      <w:r>
        <w:rPr>
          <w:rFonts w:eastAsiaTheme="majorEastAsia"/>
          <w:sz w:val="28"/>
          <w:szCs w:val="28"/>
          <w:highlight w:val="white"/>
        </w:rPr>
        <w:t xml:space="preserve">= ∑</w:t>
      </w:r>
      <w:r>
        <w:rPr>
          <w:rFonts w:eastAsiaTheme="majorEastAsia"/>
          <w:sz w:val="28"/>
          <w:szCs w:val="28"/>
          <w:highlight w:val="white"/>
          <w:vertAlign w:val="superscript"/>
        </w:rPr>
        <w:t xml:space="preserve"> </w:t>
      </w:r>
      <w:r>
        <w:rPr>
          <w:rFonts w:eastAsiaTheme="majorEastAsia"/>
          <w:sz w:val="28"/>
          <w:szCs w:val="28"/>
          <w:highlight w:val="white"/>
          <w:vertAlign w:val="superscript"/>
          <w:lang w:val="en-US"/>
        </w:rPr>
        <w:t xml:space="preserve">N</w:t>
      </w:r>
      <w:r>
        <w:rPr>
          <w:rFonts w:eastAsiaTheme="majorEastAsia"/>
          <w:sz w:val="28"/>
          <w:szCs w:val="28"/>
          <w:highlight w:val="white"/>
        </w:rPr>
        <w:t xml:space="preserve"> СД </w:t>
      </w:r>
      <w:r>
        <w:rPr>
          <w:rFonts w:eastAsiaTheme="majorEastAsia"/>
          <w:sz w:val="28"/>
          <w:szCs w:val="28"/>
          <w:highlight w:val="white"/>
          <w:vertAlign w:val="subscript"/>
        </w:rPr>
        <w:t xml:space="preserve">п/ппз </w:t>
      </w:r>
      <w:r>
        <w:rPr>
          <w:rFonts w:eastAsiaTheme="majorEastAsia"/>
          <w:sz w:val="28"/>
          <w:szCs w:val="28"/>
          <w:highlight w:val="white"/>
        </w:rPr>
        <w:t xml:space="preserve">/ </w:t>
      </w:r>
      <w:r>
        <w:rPr>
          <w:rFonts w:eastAsiaTheme="majorEastAsia"/>
          <w:sz w:val="28"/>
          <w:szCs w:val="28"/>
          <w:highlight w:val="white"/>
          <w:lang w:val="en-US"/>
        </w:rPr>
        <w:t xml:space="preserve">N</w:t>
      </w:r>
      <w:r>
        <w:rPr>
          <w:rFonts w:eastAsiaTheme="majorEastAsia"/>
          <w:sz w:val="28"/>
          <w:szCs w:val="28"/>
          <w:highlight w:val="white"/>
        </w:rPr>
        <w:t xml:space="preserve"> =</w:t>
      </w:r>
      <w:r>
        <w:rPr>
          <w:rFonts w:eastAsiaTheme="majorEastAsia"/>
          <w:sz w:val="28"/>
          <w:szCs w:val="28"/>
          <w:highlight w:val="white"/>
        </w:rPr>
        <w:t xml:space="preserve">9</w:t>
      </w:r>
      <w:r>
        <w:rPr>
          <w:rFonts w:eastAsiaTheme="majorEastAsia"/>
          <w:sz w:val="28"/>
          <w:szCs w:val="28"/>
          <w:highlight w:val="white"/>
        </w:rPr>
        <w:t xml:space="preserve">,98/</w:t>
      </w:r>
      <w:r>
        <w:rPr>
          <w:rFonts w:eastAsiaTheme="majorEastAsia"/>
          <w:sz w:val="28"/>
          <w:szCs w:val="28"/>
          <w:highlight w:val="white"/>
        </w:rPr>
        <w:t xml:space="preserve">10</w:t>
      </w:r>
      <w:r>
        <w:rPr>
          <w:rFonts w:eastAsiaTheme="majorEastAsia"/>
          <w:sz w:val="28"/>
          <w:szCs w:val="28"/>
          <w:highlight w:val="white"/>
        </w:rPr>
        <w:t xml:space="preserve"> = 0,99</w:t>
      </w:r>
      <w:r>
        <w:rPr>
          <w:rFonts w:eastAsiaTheme="majorEastAsia"/>
          <w:sz w:val="28"/>
          <w:szCs w:val="28"/>
          <w:highlight w:val="white"/>
        </w:rPr>
        <w:t xml:space="preserve">9</w:t>
      </w:r>
      <w:r>
        <w:rPr>
          <w:rFonts w:eastAsiaTheme="majorEastAsia"/>
          <w:sz w:val="28"/>
          <w:szCs w:val="28"/>
          <w:highlight w:val="white"/>
          <w:vertAlign w:val="subscript"/>
        </w:rPr>
      </w:r>
    </w:p>
    <w:p>
      <w:pPr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  <w:vertAlign w:val="superscript"/>
        </w:rPr>
        <w:t xml:space="preserve">                                                                                                       </w:t>
      </w:r>
      <w:r>
        <w:rPr>
          <w:rFonts w:eastAsiaTheme="majorEastAsia"/>
          <w:sz w:val="28"/>
          <w:szCs w:val="28"/>
          <w:highlight w:val="white"/>
          <w:vertAlign w:val="superscript"/>
          <w:lang w:val="en-US"/>
        </w:rPr>
        <w:t xml:space="preserve">1</w:t>
      </w:r>
      <w:r>
        <w:rPr>
          <w:rFonts w:eastAsiaTheme="majorEastAsia"/>
          <w:sz w:val="28"/>
          <w:szCs w:val="28"/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tbl>
      <w:tblPr>
        <w:tblW w:w="8980" w:type="dxa"/>
        <w:tblLook w:val="04A0" w:firstRow="1" w:lastRow="0" w:firstColumn="1" w:lastColumn="0" w:noHBand="0" w:noVBand="1"/>
      </w:tblPr>
      <w:tblGrid>
        <w:gridCol w:w="500"/>
        <w:gridCol w:w="4480"/>
        <w:gridCol w:w="1300"/>
        <w:gridCol w:w="1260"/>
        <w:gridCol w:w="1440"/>
      </w:tblGrid>
      <w:tr>
        <w:tblPrEx/>
        <w:trPr>
          <w:trHeight w:val="975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Комплекс процессных мероприятий «Обеспечение доступности пассажирских перевозок для населения Оренбургской области»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975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Задача 1 «Создание условий для стабильного функционирования пассажирского транспорта, обеспечения качества услуг общественного транспорта для всех категорий населения Оренбургской области»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16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80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Количество перевезенных пассажиров железнодорожным транспортом общего пользования в пригородном сообщении по состоянию на 31 декабря года предоставления субсидии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1 500,00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1 775,56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16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80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Количество перевезенных пассажиров льготных категорий железнодорожным транспортом в пригородном сообщении по состоянию на 31 декабря года предоставления субсидии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73,50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255,69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16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80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Количество выполненных рейсов на субсидируемых региональных маршрутах регулярного воздушного сообщения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1019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1017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0,998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126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80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Количество перевезенных пассажиров на субсидируемых региональных маршрутах регулярного воздушного сообщения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36,83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80,59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12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5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80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Обеспечение оплаты лизинговых платежей в размере 100 процентов, предусмотренных договорами лизинга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100,00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100,00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18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6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80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Количество перевезенных пассажиров на межмуниципальных маршрутах регулярных перевозок граждан до территорий садоводческих и огороднических некоммерческих товариществ и обратно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1 000,00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888,27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0,888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226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7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80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Количество перевезенных пассажиров в автомобильном и городском наземном электрическом транспорте общего пользования с использованием социальных проездных документов 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9 000,00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9 810,15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24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8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80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Доля автобусов, осуществляющих регулярные перевозки пассажиров в городском, пригородном и междугородном (в пределах Оренбургской области) сообщении, оснащенных системами безналичной оплаты проезда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70,00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80,10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25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9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80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Доля автобусов, осуществляющих регулярные перевозки пассажиров в городском, пригородном и междугородном (в пределах Оренбургской области) сообщении, для которых обеспечена в открытом доступе информация об их реальном движении по маршруту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25,00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91,41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328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10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80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Доля автобусов, осуществляющих регулярные перевозки пассажиров в городском,</w:t>
            </w:r>
            <w:r>
              <w:rPr>
                <w:color w:val="000000"/>
                <w:highlight w:val="white"/>
              </w:rPr>
              <w:t xml:space="preserve"> пригородном и междугородном (в пределах Оренбургской области) сообщении, оснащенных системами видеонаблюдения салонов (с функцией записи), соответствующими требованиям о защите персональных данных" соответствующими требованиям о защите персональных данных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50,00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67,36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8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11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80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Количество приобретенных автобусов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102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102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</w:p>
        </w:tc>
      </w:tr>
    </w:tbl>
    <w:p>
      <w:pPr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rPr>
          <w:rFonts w:eastAsiaTheme="majorEastAsia"/>
          <w:sz w:val="28"/>
          <w:szCs w:val="28"/>
          <w:highlight w:val="white"/>
          <w:vertAlign w:val="subscript"/>
        </w:rPr>
      </w:pPr>
      <w:r>
        <w:rPr>
          <w:rFonts w:eastAsiaTheme="majorEastAsia"/>
          <w:sz w:val="28"/>
          <w:szCs w:val="28"/>
          <w:highlight w:val="white"/>
          <w:vertAlign w:val="superscript"/>
        </w:rPr>
        <w:t xml:space="preserve">                                                                                                       </w:t>
      </w:r>
      <w:r>
        <w:rPr>
          <w:rFonts w:eastAsiaTheme="majorEastAsia"/>
          <w:sz w:val="28"/>
          <w:szCs w:val="28"/>
          <w:highlight w:val="white"/>
          <w:vertAlign w:val="subscript"/>
        </w:rPr>
      </w:r>
    </w:p>
    <w:p>
      <w:pPr>
        <w:jc w:val="center"/>
        <w:rPr>
          <w:rFonts w:eastAsiaTheme="majorEastAsia"/>
          <w:sz w:val="28"/>
          <w:szCs w:val="28"/>
          <w:highlight w:val="white"/>
          <w:vertAlign w:val="subscript"/>
        </w:rPr>
      </w:pPr>
      <w:r>
        <w:rPr>
          <w:rFonts w:eastAsiaTheme="majorEastAsia"/>
          <w:sz w:val="28"/>
          <w:szCs w:val="28"/>
          <w:highlight w:val="white"/>
        </w:rPr>
        <w:t xml:space="preserve">СР </w:t>
      </w:r>
      <w:r>
        <w:rPr>
          <w:rFonts w:eastAsiaTheme="majorEastAsia"/>
          <w:sz w:val="28"/>
          <w:szCs w:val="28"/>
          <w:highlight w:val="white"/>
          <w:vertAlign w:val="subscript"/>
        </w:rPr>
        <w:t xml:space="preserve">сэ</w:t>
      </w:r>
      <w:r>
        <w:rPr>
          <w:rFonts w:eastAsiaTheme="majorEastAsia"/>
          <w:sz w:val="28"/>
          <w:szCs w:val="28"/>
          <w:highlight w:val="white"/>
        </w:rPr>
        <w:t xml:space="preserve">= ∑</w:t>
      </w:r>
      <w:r>
        <w:rPr>
          <w:rFonts w:eastAsiaTheme="majorEastAsia"/>
          <w:sz w:val="28"/>
          <w:szCs w:val="28"/>
          <w:highlight w:val="white"/>
          <w:vertAlign w:val="superscript"/>
        </w:rPr>
        <w:t xml:space="preserve"> </w:t>
      </w:r>
      <w:r>
        <w:rPr>
          <w:rFonts w:eastAsiaTheme="majorEastAsia"/>
          <w:sz w:val="28"/>
          <w:szCs w:val="28"/>
          <w:highlight w:val="white"/>
          <w:vertAlign w:val="superscript"/>
          <w:lang w:val="en-US"/>
        </w:rPr>
        <w:t xml:space="preserve">N</w:t>
      </w:r>
      <w:r>
        <w:rPr>
          <w:rFonts w:eastAsiaTheme="majorEastAsia"/>
          <w:sz w:val="28"/>
          <w:szCs w:val="28"/>
          <w:highlight w:val="white"/>
        </w:rPr>
        <w:t xml:space="preserve"> СД </w:t>
      </w:r>
      <w:r>
        <w:rPr>
          <w:rFonts w:eastAsiaTheme="majorEastAsia"/>
          <w:sz w:val="28"/>
          <w:szCs w:val="28"/>
          <w:highlight w:val="white"/>
          <w:vertAlign w:val="subscript"/>
        </w:rPr>
        <w:t xml:space="preserve">п/ппз </w:t>
      </w:r>
      <w:r>
        <w:rPr>
          <w:rFonts w:eastAsiaTheme="majorEastAsia"/>
          <w:sz w:val="28"/>
          <w:szCs w:val="28"/>
          <w:highlight w:val="white"/>
        </w:rPr>
        <w:t xml:space="preserve">/ </w:t>
      </w:r>
      <w:r>
        <w:rPr>
          <w:rFonts w:eastAsiaTheme="majorEastAsia"/>
          <w:sz w:val="28"/>
          <w:szCs w:val="28"/>
          <w:highlight w:val="white"/>
          <w:lang w:val="en-US"/>
        </w:rPr>
        <w:t xml:space="preserve">N</w:t>
      </w:r>
      <w:r>
        <w:rPr>
          <w:rFonts w:eastAsiaTheme="majorEastAsia"/>
          <w:sz w:val="28"/>
          <w:szCs w:val="28"/>
          <w:highlight w:val="white"/>
        </w:rPr>
        <w:t xml:space="preserve"> =</w:t>
      </w:r>
      <w:r>
        <w:rPr>
          <w:rFonts w:eastAsiaTheme="majorEastAsia"/>
          <w:sz w:val="28"/>
          <w:szCs w:val="28"/>
          <w:highlight w:val="white"/>
        </w:rPr>
        <w:t xml:space="preserve">10,886/11 = 0,990</w:t>
      </w:r>
      <w:r>
        <w:rPr>
          <w:rFonts w:eastAsiaTheme="majorEastAsia"/>
          <w:sz w:val="28"/>
          <w:szCs w:val="28"/>
          <w:highlight w:val="white"/>
          <w:vertAlign w:val="subscript"/>
        </w:rPr>
      </w:r>
    </w:p>
    <w:p>
      <w:pPr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  <w:vertAlign w:val="superscript"/>
        </w:rPr>
        <w:t xml:space="preserve">                                                                                                       1</w:t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center"/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  <w:t xml:space="preserve">5. Оценка эффективности реализации структурного элемента</w:t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center"/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center"/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  <w:t xml:space="preserve">ЭР сэ=СР сэ </w:t>
      </w:r>
      <w:r>
        <w:rPr>
          <w:rFonts w:eastAsiaTheme="majorEastAsia"/>
          <w:highlight w:val="white"/>
        </w:rPr>
        <w:t xml:space="preserve">х</w:t>
      </w:r>
      <w:r>
        <w:rPr>
          <w:rFonts w:eastAsiaTheme="majorEastAsia"/>
          <w:sz w:val="28"/>
          <w:szCs w:val="28"/>
          <w:highlight w:val="white"/>
        </w:rPr>
        <w:t xml:space="preserve"> </w:t>
      </w:r>
      <w:r>
        <w:rPr>
          <w:rFonts w:eastAsiaTheme="majorEastAsia"/>
          <w:sz w:val="28"/>
          <w:szCs w:val="28"/>
          <w:highlight w:val="white"/>
        </w:rPr>
        <w:t xml:space="preserve">Э</w:t>
      </w:r>
      <w:r>
        <w:rPr>
          <w:rFonts w:eastAsiaTheme="majorEastAsia"/>
          <w:sz w:val="28"/>
          <w:szCs w:val="28"/>
          <w:highlight w:val="white"/>
        </w:rPr>
        <w:t xml:space="preserve"> ис</w:t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center"/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tbl>
      <w:tblPr>
        <w:tblStyle w:val="877"/>
        <w:tblW w:w="9776" w:type="dxa"/>
        <w:jc w:val="center"/>
        <w:tblLook w:val="04A0" w:firstRow="1" w:lastRow="0" w:firstColumn="1" w:lastColumn="0" w:noHBand="0" w:noVBand="1"/>
      </w:tblPr>
      <w:tblGrid>
        <w:gridCol w:w="486"/>
        <w:gridCol w:w="6313"/>
        <w:gridCol w:w="993"/>
        <w:gridCol w:w="992"/>
        <w:gridCol w:w="992"/>
      </w:tblGrid>
      <w:tr>
        <w:tblPrEx/>
        <w:trPr>
          <w:jc w:val="center"/>
          <w:trHeight w:val="704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№ п/п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31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Наименование структурного элемента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bscript"/>
              </w:rPr>
            </w:pPr>
            <w:r>
              <w:rPr>
                <w:rFonts w:eastAsiaTheme="majorEastAsia"/>
                <w:sz w:val="28"/>
                <w:szCs w:val="28"/>
                <w:highlight w:val="white"/>
              </w:rPr>
              <w:t xml:space="preserve">СР сэ</w:t>
            </w:r>
            <w:r>
              <w:rPr>
                <w:sz w:val="20"/>
                <w:szCs w:val="20"/>
                <w:highlight w:val="white"/>
                <w:vertAlign w:val="subscript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eastAsiaTheme="majorEastAsia"/>
                <w:sz w:val="28"/>
                <w:szCs w:val="28"/>
                <w:highlight w:val="white"/>
              </w:rPr>
            </w:pPr>
            <w:r>
              <w:rPr>
                <w:rFonts w:eastAsiaTheme="majorEastAsia"/>
                <w:sz w:val="28"/>
                <w:szCs w:val="28"/>
                <w:highlight w:val="white"/>
              </w:rPr>
              <w:t xml:space="preserve">Э ис</w:t>
            </w:r>
            <w:r>
              <w:rPr>
                <w:rFonts w:eastAsiaTheme="majorEastAsia"/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rFonts w:eastAsiaTheme="majorEastAsia"/>
                <w:sz w:val="28"/>
                <w:szCs w:val="28"/>
                <w:highlight w:val="white"/>
              </w:rPr>
              <w:t xml:space="preserve">ЭР сэ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714"/>
        </w:trPr>
        <w:tc>
          <w:tcPr>
            <w:tcW w:w="486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1.</w:t>
            </w:r>
            <w:r>
              <w:rPr>
                <w:highlight w:val="white"/>
              </w:rPr>
            </w:r>
          </w:p>
        </w:tc>
        <w:tc>
          <w:tcPr>
            <w:tcW w:w="6313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Региональный проект «Региональная и местная дорожная сеть (Оренбургская область)»</w:t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ajorEastAsia"/>
                <w:highlight w:val="white"/>
              </w:rPr>
            </w:pPr>
            <w:r>
              <w:rPr>
                <w:rFonts w:eastAsiaTheme="majorEastAsia"/>
                <w:highlight w:val="white"/>
              </w:rPr>
              <w:t xml:space="preserve">1</w:t>
            </w:r>
            <w:r>
              <w:rPr>
                <w:rFonts w:eastAsiaTheme="majorEastAsia"/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ajorEastAsia"/>
                <w:highlight w:val="white"/>
              </w:rPr>
            </w:pPr>
            <w:r>
              <w:rPr>
                <w:rFonts w:eastAsiaTheme="majorEastAsia"/>
                <w:highlight w:val="white"/>
              </w:rPr>
              <w:t xml:space="preserve">1</w:t>
            </w:r>
            <w:r>
              <w:rPr>
                <w:rFonts w:eastAsiaTheme="majorEastAsia"/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ajorEastAsia"/>
                <w:highlight w:val="white"/>
              </w:rPr>
            </w:pPr>
            <w:r>
              <w:rPr>
                <w:rFonts w:eastAsiaTheme="majorEastAsia"/>
                <w:highlight w:val="white"/>
              </w:rPr>
              <w:t xml:space="preserve">1</w:t>
            </w:r>
            <w:r>
              <w:rPr>
                <w:rFonts w:eastAsiaTheme="majorEastAsia"/>
                <w:highlight w:val="white"/>
              </w:rPr>
            </w:r>
          </w:p>
        </w:tc>
      </w:tr>
      <w:tr>
        <w:tblPrEx/>
        <w:trPr>
          <w:jc w:val="center"/>
          <w:trHeight w:val="706"/>
        </w:trPr>
        <w:tc>
          <w:tcPr>
            <w:tcW w:w="486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2.</w:t>
            </w:r>
            <w:r>
              <w:rPr>
                <w:highlight w:val="white"/>
              </w:rPr>
            </w:r>
          </w:p>
        </w:tc>
        <w:tc>
          <w:tcPr>
            <w:tcW w:w="6313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Региональный проект «Общесистемные меры развития дорожного хозяйства» </w:t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ajorEastAsia"/>
                <w:highlight w:val="white"/>
              </w:rPr>
            </w:pPr>
            <w:r>
              <w:rPr>
                <w:rFonts w:eastAsiaTheme="majorEastAsia"/>
                <w:highlight w:val="white"/>
              </w:rPr>
              <w:t xml:space="preserve">1</w:t>
            </w:r>
            <w:r>
              <w:rPr>
                <w:rFonts w:eastAsiaTheme="majorEastAsia"/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ajorEastAsia"/>
                <w:highlight w:val="white"/>
              </w:rPr>
            </w:pPr>
            <w:r>
              <w:rPr>
                <w:rFonts w:eastAsiaTheme="majorEastAsia"/>
                <w:highlight w:val="white"/>
              </w:rPr>
              <w:t xml:space="preserve">1</w:t>
            </w:r>
            <w:r>
              <w:rPr>
                <w:rFonts w:eastAsiaTheme="majorEastAsia"/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ajorEastAsia"/>
                <w:highlight w:val="white"/>
              </w:rPr>
            </w:pPr>
            <w:r>
              <w:rPr>
                <w:rFonts w:eastAsiaTheme="majorEastAsia"/>
                <w:highlight w:val="white"/>
              </w:rPr>
              <w:t xml:space="preserve">1</w:t>
            </w:r>
            <w:r>
              <w:rPr>
                <w:rFonts w:eastAsiaTheme="majorEastAsia"/>
                <w:highlight w:val="white"/>
              </w:rPr>
            </w:r>
          </w:p>
        </w:tc>
      </w:tr>
      <w:tr>
        <w:tblPrEx/>
        <w:trPr>
          <w:jc w:val="center"/>
          <w:trHeight w:val="1023"/>
        </w:trPr>
        <w:tc>
          <w:tcPr>
            <w:tcW w:w="486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3.</w:t>
            </w:r>
            <w:r>
              <w:rPr>
                <w:highlight w:val="white"/>
              </w:rPr>
            </w:r>
          </w:p>
        </w:tc>
        <w:tc>
          <w:tcPr>
            <w:tcW w:w="6313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Комплекс процессных мероприятий «Развитие сети автомобильных дорог регионального, межмуниципального и местного значения» </w:t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ajorEastAsia"/>
                <w:highlight w:val="white"/>
              </w:rPr>
            </w:pPr>
            <w:r>
              <w:rPr>
                <w:rFonts w:eastAsiaTheme="majorEastAsia"/>
                <w:highlight w:val="white"/>
              </w:rPr>
              <w:t xml:space="preserve">0,999</w:t>
            </w:r>
            <w:r>
              <w:rPr>
                <w:rFonts w:eastAsiaTheme="majorEastAsia"/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ajorEastAsia"/>
                <w:highlight w:val="white"/>
              </w:rPr>
            </w:pPr>
            <w:r>
              <w:rPr>
                <w:rFonts w:eastAsiaTheme="majorEastAsia"/>
                <w:highlight w:val="white"/>
              </w:rPr>
              <w:t xml:space="preserve">1</w:t>
            </w:r>
            <w:r>
              <w:rPr>
                <w:rFonts w:eastAsiaTheme="majorEastAsia"/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ajorEastAsia"/>
                <w:highlight w:val="white"/>
              </w:rPr>
            </w:pPr>
            <w:r>
              <w:rPr>
                <w:rFonts w:eastAsiaTheme="majorEastAsia"/>
                <w:highlight w:val="white"/>
              </w:rPr>
              <w:t xml:space="preserve">0,999</w:t>
            </w:r>
            <w:r>
              <w:rPr>
                <w:rFonts w:eastAsiaTheme="majorEastAsia"/>
                <w:highlight w:val="white"/>
              </w:rPr>
            </w:r>
          </w:p>
        </w:tc>
      </w:tr>
      <w:tr>
        <w:tblPrEx/>
        <w:trPr>
          <w:jc w:val="center"/>
          <w:trHeight w:val="998"/>
        </w:trPr>
        <w:tc>
          <w:tcPr>
            <w:tcW w:w="486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4.</w:t>
            </w:r>
            <w:r>
              <w:rPr>
                <w:highlight w:val="white"/>
              </w:rPr>
            </w:r>
          </w:p>
        </w:tc>
        <w:tc>
          <w:tcPr>
            <w:tcW w:w="6313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Комплекс процессных мероприятий «Обеспечение доступности пассажирских перевозок для населения Оренбургской области»</w:t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ajorEastAsia"/>
                <w:highlight w:val="white"/>
              </w:rPr>
            </w:pPr>
            <w:r>
              <w:rPr>
                <w:rFonts w:eastAsiaTheme="majorEastAsia"/>
                <w:highlight w:val="white"/>
              </w:rPr>
              <w:t xml:space="preserve">0,99</w:t>
            </w:r>
            <w:r>
              <w:rPr>
                <w:rFonts w:eastAsiaTheme="majorEastAsia"/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ajorEastAsia"/>
                <w:highlight w:val="white"/>
              </w:rPr>
            </w:pPr>
            <w:r>
              <w:rPr>
                <w:rFonts w:eastAsiaTheme="majorEastAsia"/>
                <w:highlight w:val="white"/>
              </w:rPr>
              <w:t xml:space="preserve">0,8</w:t>
            </w:r>
            <w:r>
              <w:rPr>
                <w:rFonts w:eastAsiaTheme="majorEastAsia"/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ajorEastAsia"/>
                <w:highlight w:val="white"/>
              </w:rPr>
            </w:pPr>
            <w:r>
              <w:rPr>
                <w:rFonts w:eastAsiaTheme="majorEastAsia"/>
                <w:highlight w:val="white"/>
              </w:rPr>
              <w:t xml:space="preserve">0,891</w:t>
            </w:r>
            <w:r>
              <w:rPr>
                <w:rFonts w:eastAsiaTheme="majorEastAsia"/>
                <w:highlight w:val="white"/>
              </w:rPr>
            </w:r>
          </w:p>
        </w:tc>
      </w:tr>
    </w:tbl>
    <w:p>
      <w:pPr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ind w:firstLine="709"/>
        <w:jc w:val="both"/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  <w:t xml:space="preserve">Эффективность реализации структурных элементов № 1, 2, 3 признается высокой, структурного элемента № 4 признается средней.</w:t>
      </w:r>
      <w:r>
        <w:rPr>
          <w:rFonts w:eastAsiaTheme="majorEastAsia"/>
          <w:sz w:val="28"/>
          <w:szCs w:val="28"/>
          <w:highlight w:val="white"/>
        </w:rPr>
      </w:r>
    </w:p>
    <w:p>
      <w:pPr>
        <w:ind w:firstLine="709"/>
        <w:jc w:val="both"/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ind w:firstLine="709"/>
        <w:jc w:val="center"/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  <w:t xml:space="preserve">6. Оценка степени достижения цели государственной программы</w:t>
      </w:r>
      <w:r>
        <w:rPr>
          <w:rFonts w:eastAsiaTheme="majorEastAsia"/>
          <w:sz w:val="28"/>
          <w:szCs w:val="28"/>
          <w:highlight w:val="white"/>
        </w:rPr>
      </w:r>
    </w:p>
    <w:p>
      <w:pPr>
        <w:ind w:firstLine="709"/>
        <w:jc w:val="both"/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ind w:firstLine="709"/>
        <w:jc w:val="center"/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  <w:t xml:space="preserve">СД гппз=ЗП гпф/ЗП гпп</w:t>
      </w:r>
      <w:r>
        <w:rPr>
          <w:rFonts w:eastAsiaTheme="majorEastAsia"/>
          <w:sz w:val="28"/>
          <w:szCs w:val="28"/>
          <w:highlight w:val="white"/>
        </w:rPr>
      </w:r>
    </w:p>
    <w:p>
      <w:pPr>
        <w:ind w:firstLine="709"/>
        <w:jc w:val="center"/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500"/>
        <w:gridCol w:w="5874"/>
        <w:gridCol w:w="1134"/>
        <w:gridCol w:w="1276"/>
        <w:gridCol w:w="1276"/>
      </w:tblGrid>
      <w:tr>
        <w:tblPrEx/>
        <w:trPr>
          <w:trHeight w:val="71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637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Наименование результата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rFonts w:eastAsiaTheme="majorEastAsia"/>
                <w:sz w:val="28"/>
                <w:szCs w:val="28"/>
                <w:highlight w:val="white"/>
              </w:rPr>
              <w:t xml:space="preserve">ЗП гпп</w:t>
            </w:r>
            <w:r>
              <w:rPr>
                <w:color w:val="000000"/>
                <w:highlight w:val="white"/>
              </w:rPr>
              <w:t xml:space="preserve"> 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rFonts w:eastAsiaTheme="majorEastAsia"/>
                <w:sz w:val="28"/>
                <w:szCs w:val="28"/>
                <w:highlight w:val="white"/>
              </w:rPr>
              <w:t xml:space="preserve">ЗП гпф</w:t>
            </w:r>
            <w:r>
              <w:rPr>
                <w:color w:val="000000"/>
                <w:highlight w:val="white"/>
              </w:rPr>
              <w:t xml:space="preserve"> 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rFonts w:eastAsiaTheme="majorEastAsia"/>
                <w:sz w:val="28"/>
                <w:szCs w:val="28"/>
                <w:highlight w:val="white"/>
              </w:rPr>
              <w:t xml:space="preserve">СД гппз</w:t>
            </w:r>
            <w:r>
              <w:rPr>
                <w:color w:val="000000"/>
                <w:highlight w:val="white"/>
              </w:rPr>
              <w:t xml:space="preserve"> 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170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74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Доля протяженности автомобильных дорог общего пользования регионального и межмуниципального, местного значения, соответствующих нормативным требованиям к транспортно-эксплуатационным показателям, на 31 декабря отчетного года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48,5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49,6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172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74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Доля протяженности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на 31 декабря отчетного года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40,3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41,3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161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74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56,3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57,6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85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74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Транспортная подвижность населения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0,865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0,865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126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5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74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Доля автомобильных дорог регионального и межмуниципального значения, соответствующих нормативным требованиям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40,1843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41,7293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126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6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74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Доля дорожной сети городских агломераций, находящаяся в нормативном состоянии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85,08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85,7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126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7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74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Доля отечественного оборудования (товаров, работ, услуг) в общем объеме закупок</w:t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100,000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100,000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126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8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74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(накопленным итогом)</w:t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2,1436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2,2425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126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9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74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Доля автомобильных дорог регионального значения, входящих в опорную сеть, соответствующих нормативным требованиям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52,9001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58,7794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126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10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74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Доля объектов, на которых предусматривается использование новых и наилучших технологий, включенных в Реестр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40,000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83,3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126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11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74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Доля автомобильных дорог регионального значения, входящих в опорную сеть, рассчитанных на нормативную нагрузку не менее 11,5 тонн на ось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1,4458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1,4501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126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12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74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Доля искусственных сооружений, расположенных на автомобильных дорогах общего пользования регионального значения, входящих в опорную сеть, рассчитанных на нагрузку не менее А11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73,6029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75,2277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</w:p>
        </w:tc>
      </w:tr>
    </w:tbl>
    <w:p>
      <w:pPr>
        <w:ind w:firstLine="709"/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center"/>
        <w:rPr>
          <w:rFonts w:eastAsiaTheme="majorEastAsia"/>
          <w:sz w:val="28"/>
          <w:szCs w:val="28"/>
          <w:highlight w:val="white"/>
          <w:vertAlign w:val="subscript"/>
        </w:rPr>
      </w:pPr>
      <w:r>
        <w:rPr>
          <w:rFonts w:eastAsiaTheme="majorEastAsia"/>
          <w:sz w:val="28"/>
          <w:szCs w:val="28"/>
          <w:highlight w:val="white"/>
        </w:rPr>
        <w:t xml:space="preserve">СР </w:t>
      </w:r>
      <w:r>
        <w:rPr>
          <w:rFonts w:eastAsiaTheme="majorEastAsia"/>
          <w:sz w:val="28"/>
          <w:szCs w:val="28"/>
          <w:highlight w:val="white"/>
          <w:vertAlign w:val="subscript"/>
        </w:rPr>
        <w:t xml:space="preserve">гп </w:t>
      </w:r>
      <w:r>
        <w:rPr>
          <w:rFonts w:eastAsiaTheme="majorEastAsia"/>
          <w:sz w:val="28"/>
          <w:szCs w:val="28"/>
          <w:highlight w:val="white"/>
        </w:rPr>
        <w:t xml:space="preserve">= ∑</w:t>
      </w:r>
      <w:r>
        <w:rPr>
          <w:rFonts w:eastAsiaTheme="majorEastAsia"/>
          <w:sz w:val="28"/>
          <w:szCs w:val="28"/>
          <w:highlight w:val="white"/>
          <w:vertAlign w:val="superscript"/>
        </w:rPr>
        <w:t xml:space="preserve"> М</w:t>
      </w:r>
      <w:r>
        <w:rPr>
          <w:rFonts w:eastAsiaTheme="majorEastAsia"/>
          <w:sz w:val="28"/>
          <w:szCs w:val="28"/>
          <w:highlight w:val="white"/>
        </w:rPr>
        <w:t xml:space="preserve"> СД </w:t>
      </w:r>
      <w:r>
        <w:rPr>
          <w:rFonts w:eastAsiaTheme="majorEastAsia"/>
          <w:sz w:val="28"/>
          <w:szCs w:val="28"/>
          <w:highlight w:val="white"/>
          <w:vertAlign w:val="subscript"/>
        </w:rPr>
        <w:t xml:space="preserve">гппз </w:t>
      </w:r>
      <w:r>
        <w:rPr>
          <w:rFonts w:eastAsiaTheme="majorEastAsia"/>
          <w:sz w:val="28"/>
          <w:szCs w:val="28"/>
          <w:highlight w:val="white"/>
        </w:rPr>
        <w:t xml:space="preserve">/ </w:t>
      </w:r>
      <w:r>
        <w:rPr>
          <w:rFonts w:eastAsiaTheme="majorEastAsia"/>
          <w:sz w:val="28"/>
          <w:szCs w:val="28"/>
          <w:highlight w:val="white"/>
          <w:lang w:val="en-US"/>
        </w:rPr>
        <w:t xml:space="preserve">N</w:t>
      </w:r>
      <w:r>
        <w:rPr>
          <w:rFonts w:eastAsiaTheme="majorEastAsia"/>
          <w:sz w:val="28"/>
          <w:szCs w:val="28"/>
          <w:highlight w:val="white"/>
        </w:rPr>
        <w:t xml:space="preserve"> =12/12 = 1</w:t>
      </w:r>
      <w:r>
        <w:rPr>
          <w:rFonts w:eastAsiaTheme="majorEastAsia"/>
          <w:sz w:val="28"/>
          <w:szCs w:val="28"/>
          <w:highlight w:val="white"/>
          <w:vertAlign w:val="subscript"/>
        </w:rPr>
      </w:r>
    </w:p>
    <w:p>
      <w:pPr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  <w:vertAlign w:val="superscript"/>
        </w:rPr>
        <w:t xml:space="preserve">                                                                                          </w:t>
      </w:r>
      <w:r>
        <w:rPr>
          <w:rFonts w:eastAsiaTheme="majorEastAsia"/>
          <w:sz w:val="28"/>
          <w:szCs w:val="28"/>
          <w:highlight w:val="white"/>
          <w:vertAlign w:val="superscript"/>
          <w:lang w:val="en-US"/>
        </w:rPr>
        <w:t xml:space="preserve">1</w:t>
      </w:r>
      <w:r>
        <w:rPr>
          <w:rFonts w:eastAsiaTheme="majorEastAsia"/>
          <w:sz w:val="28"/>
          <w:szCs w:val="28"/>
          <w:highlight w:val="white"/>
        </w:rPr>
      </w:r>
    </w:p>
    <w:p>
      <w:pPr>
        <w:ind w:firstLine="709"/>
        <w:jc w:val="center"/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ind w:firstLine="709"/>
        <w:jc w:val="center"/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  <w:t xml:space="preserve">7. Оценка эффективности реализации государственной программы</w:t>
      </w:r>
      <w:r>
        <w:rPr>
          <w:rFonts w:eastAsiaTheme="majorEastAsia"/>
          <w:sz w:val="28"/>
          <w:szCs w:val="28"/>
          <w:highlight w:val="white"/>
        </w:rPr>
      </w:r>
    </w:p>
    <w:p>
      <w:pPr>
        <w:ind w:firstLine="709"/>
        <w:jc w:val="center"/>
        <w:rPr>
          <w:rFonts w:eastAsiaTheme="majorEastAsia"/>
          <w:sz w:val="28"/>
          <w:szCs w:val="28"/>
          <w:highlight w:val="white"/>
        </w:rPr>
      </w:pPr>
      <w:r>
        <w:rPr>
          <w:highlight w:val="white"/>
        </w:rPr>
      </w:r>
      <m:oMathPara>
        <m:oMathParaPr/>
        <m:oMath>
          <m:sSub>
            <m:sSubPr>
              <m:ctrlPr>
                <w:rPr>
                  <w:rFonts w:hint="default" w:ascii="Cambria Math" w:hAnsi="Cambria Math" w:eastAsia="Cambria Math" w:cs="Cambria Math" w:eastAsiaTheme="majorEastAsia"/>
                  <w:i/>
                  <w:sz w:val="28"/>
                  <w:szCs w:val="28"/>
                  <w:highlight w:val="white"/>
                </w:rPr>
              </m:ctrlPr>
            </m:sSubPr>
            <m:e>
              <m:r>
                <w:rPr>
                  <w:rFonts w:ascii="Cambria Math" w:hAnsi="Cambria Math" w:eastAsiaTheme="majorEastAsia"/>
                  <w:sz w:val="28"/>
                  <w:szCs w:val="28"/>
                  <w:highlight w:val="white"/>
                </w:rPr>
                <m:rPr/>
                <m:t>ЭР</m:t>
              </m:r>
            </m:e>
            <m:sub>
              <m:r>
                <w:rPr>
                  <w:rFonts w:ascii="Cambria Math" w:hAnsi="Cambria Math" w:eastAsiaTheme="majorEastAsia"/>
                  <w:sz w:val="28"/>
                  <w:szCs w:val="28"/>
                  <w:highlight w:val="white"/>
                </w:rPr>
                <m:rPr/>
                <m:t>гп</m:t>
              </m:r>
            </m:sub>
          </m:sSub>
          <m:r>
            <w:rPr>
              <w:rFonts w:ascii="Cambria Math" w:hAnsi="Cambria Math" w:eastAsiaTheme="majorEastAsia"/>
              <w:sz w:val="28"/>
              <w:szCs w:val="28"/>
              <w:highlight w:val="white"/>
            </w:rPr>
            <m:rPr/>
            <m:t>=0,5×</m:t>
          </m:r>
          <m:sSub>
            <m:sSubPr>
              <m:ctrlPr>
                <w:rPr>
                  <w:rFonts w:hint="default" w:ascii="Cambria Math" w:hAnsi="Cambria Math" w:eastAsia="Cambria Math" w:cs="Cambria Math" w:eastAsiaTheme="majorEastAsia"/>
                  <w:i/>
                  <w:sz w:val="28"/>
                  <w:szCs w:val="28"/>
                  <w:highlight w:val="white"/>
                </w:rPr>
              </m:ctrlPr>
            </m:sSubPr>
            <m:e>
              <m:r>
                <w:rPr>
                  <w:rFonts w:ascii="Cambria Math" w:hAnsi="Cambria Math" w:eastAsiaTheme="majorEastAsia"/>
                  <w:sz w:val="28"/>
                  <w:szCs w:val="28"/>
                  <w:highlight w:val="white"/>
                </w:rPr>
                <m:rPr/>
                <m:t>СР</m:t>
              </m:r>
            </m:e>
            <m:sub>
              <m:r>
                <w:rPr>
                  <w:rFonts w:ascii="Cambria Math" w:hAnsi="Cambria Math" w:eastAsiaTheme="majorEastAsia"/>
                  <w:sz w:val="28"/>
                  <w:szCs w:val="28"/>
                  <w:highlight w:val="white"/>
                </w:rPr>
                <m:rPr/>
                <m:t>гп</m:t>
              </m:r>
            </m:sub>
          </m:sSub>
          <m:r>
            <w:rPr>
              <w:rFonts w:ascii="Cambria Math" w:hAnsi="Cambria Math" w:eastAsiaTheme="majorEastAsia"/>
              <w:sz w:val="28"/>
              <w:szCs w:val="28"/>
              <w:highlight w:val="white"/>
            </w:rPr>
            <m:rPr/>
            <m:t>+0,5×</m:t>
          </m:r>
          <m:nary>
            <m:naryPr>
              <m:chr m:val="∑"/>
              <m:grow m:val="off"/>
              <m:limLoc m:val="undOvr"/>
              <m:ctrlPr>
                <w:rPr>
                  <w:rFonts w:hint="default" w:ascii="Cambria Math" w:hAnsi="Cambria Math" w:eastAsia="Cambria Math" w:cs="Cambria Math" w:eastAsiaTheme="majorEastAsia"/>
                  <w:i/>
                  <w:sz w:val="28"/>
                  <w:szCs w:val="28"/>
                  <w:highlight w:val="white"/>
                </w:rPr>
              </m:ctrlPr>
            </m:naryPr>
            <m:sub>
              <m:r>
                <w:rPr>
                  <w:rFonts w:ascii="Cambria Math" w:hAnsi="Cambria Math" w:eastAsiaTheme="majorEastAsia"/>
                  <w:sz w:val="28"/>
                  <w:szCs w:val="28"/>
                  <w:highlight w:val="white"/>
                </w:rPr>
                <m:rPr/>
                <m:t>1</m:t>
              </m:r>
            </m:sub>
            <m:sup>
              <m:r>
                <w:rPr>
                  <w:rFonts w:ascii="Cambria Math" w:hAnsi="Cambria Math" w:eastAsiaTheme="majorEastAsia"/>
                  <w:sz w:val="28"/>
                  <w:szCs w:val="28"/>
                  <w:highlight w:val="white"/>
                  <w:lang w:val="en-US"/>
                </w:rPr>
                <m:rPr/>
                <m:t>s</m:t>
              </m:r>
            </m:sup>
            <m:e>
              <m:sSub>
                <m:sSubPr>
                  <m:ctrlPr>
                    <w:rPr>
                      <w:rFonts w:hint="default" w:ascii="Cambria Math" w:hAnsi="Cambria Math" w:eastAsia="Cambria Math" w:cs="Cambria Math" w:eastAsiaTheme="majorEastAsia"/>
                      <w:i/>
                      <w:sz w:val="28"/>
                      <w:szCs w:val="28"/>
                      <w:highlight w:val="white"/>
                    </w:rPr>
                  </m:ctrlPr>
                </m:sSubPr>
                <m:e>
                  <m:r>
                    <w:rPr>
                      <w:rFonts w:ascii="Cambria Math" w:hAnsi="Cambria Math" w:eastAsiaTheme="majorEastAsia"/>
                      <w:sz w:val="28"/>
                      <w:szCs w:val="28"/>
                      <w:highlight w:val="white"/>
                    </w:rPr>
                    <m:rPr/>
                    <m:t>ЭР</m:t>
                  </m:r>
                </m:e>
                <m:sub>
                  <m:r>
                    <w:rPr>
                      <w:rFonts w:ascii="Cambria Math" w:hAnsi="Cambria Math" w:eastAsiaTheme="majorEastAsia"/>
                      <w:sz w:val="28"/>
                      <w:szCs w:val="28"/>
                      <w:highlight w:val="white"/>
                    </w:rPr>
                    <m:rPr/>
                    <m:t>сэ</m:t>
                  </m:r>
                </m:sub>
              </m:sSub>
              <m:r>
                <w:rPr>
                  <w:rFonts w:ascii="Cambria Math" w:hAnsi="Cambria Math" w:eastAsiaTheme="majorEastAsia"/>
                  <w:sz w:val="28"/>
                  <w:szCs w:val="28"/>
                  <w:highlight w:val="white"/>
                </w:rPr>
                <m:rPr/>
                <m:t>/</m:t>
              </m:r>
              <m:r>
                <w:rPr>
                  <w:rFonts w:ascii="Cambria Math" w:hAnsi="Cambria Math" w:eastAsiaTheme="majorEastAsia"/>
                  <w:sz w:val="28"/>
                  <w:szCs w:val="28"/>
                  <w:highlight w:val="white"/>
                  <w:lang w:val="en-US"/>
                </w:rPr>
                <m:rPr/>
                <m:t>S</m:t>
              </m:r>
            </m:e>
          </m:nary>
        </m:oMath>
      </m:oMathPara>
      <w:r>
        <w:rPr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ind w:firstLine="709"/>
        <w:jc w:val="center"/>
        <w:rPr>
          <w:rFonts w:eastAsiaTheme="majorEastAsia"/>
          <w:sz w:val="28"/>
          <w:szCs w:val="28"/>
          <w:highlight w:val="white"/>
        </w:rPr>
      </w:pPr>
      <w:r>
        <w:rPr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1625" cy="301625"/>
                <wp:effectExtent l="0" t="0" r="0" b="0"/>
                <wp:docPr id="1" name="AutoShape 4" descr="https://internet.garant.ru/document/formula?revision=622024530&amp;text=3dBf4-89MC41KivR0F_j7yswLjUqK1N1bW1hKN3QX_H9KQ==&amp;fmt=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0" o:spid="_x0000_s0" o:spt="1" type="#_x0000_t1" style="width:23.75pt;height:23.75pt;mso-wrap-distance-left:0.00pt;mso-wrap-distance-top:0.00pt;mso-wrap-distance-right:0.00pt;mso-wrap-distance-bottom:0.00pt;visibility:visible;" filled="f" stroked="f"/>
            </w:pict>
          </mc:Fallback>
        </mc:AlternateContent>
      </w:r>
      <w:r>
        <w:rPr>
          <w:rFonts w:eastAsiaTheme="majorEastAsia"/>
          <w:sz w:val="28"/>
          <w:szCs w:val="28"/>
          <w:highlight w:val="white"/>
        </w:rPr>
      </w:r>
    </w:p>
    <w:p>
      <w:pPr>
        <w:ind w:firstLine="709"/>
        <w:jc w:val="center"/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ind w:firstLine="709"/>
        <w:jc w:val="center"/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ind w:firstLine="709"/>
        <w:jc w:val="center"/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  <w:t xml:space="preserve">ЭР</w:t>
      </w:r>
      <w:r>
        <w:rPr>
          <w:rFonts w:eastAsiaTheme="majorEastAsia"/>
          <w:sz w:val="28"/>
          <w:szCs w:val="28"/>
          <w:highlight w:val="white"/>
          <w:vertAlign w:val="subscript"/>
        </w:rPr>
        <w:t xml:space="preserve">гп</w:t>
      </w:r>
      <w:r>
        <w:rPr>
          <w:rFonts w:eastAsiaTheme="majorEastAsia"/>
          <w:sz w:val="28"/>
          <w:szCs w:val="28"/>
          <w:highlight w:val="white"/>
        </w:rPr>
        <w:t xml:space="preserve"> = 0,5* 1 + 0,5* (1+1+0,999+0,891) / 4 = 0,986</w:t>
      </w:r>
      <w:r>
        <w:rPr>
          <w:rFonts w:eastAsiaTheme="majorEastAsia"/>
          <w:sz w:val="28"/>
          <w:szCs w:val="28"/>
          <w:highlight w:val="white"/>
        </w:rPr>
      </w:r>
    </w:p>
    <w:p>
      <w:pPr>
        <w:ind w:firstLine="709"/>
        <w:jc w:val="center"/>
        <w:rPr>
          <w:rFonts w:eastAsiaTheme="majorEastAsia"/>
          <w:i/>
          <w:sz w:val="28"/>
          <w:szCs w:val="28"/>
          <w:highlight w:val="white"/>
        </w:rPr>
      </w:pPr>
      <w:r>
        <w:rPr>
          <w:rFonts w:eastAsiaTheme="majorEastAsia"/>
          <w:i/>
          <w:sz w:val="28"/>
          <w:szCs w:val="28"/>
          <w:highlight w:val="white"/>
        </w:rPr>
        <w:t xml:space="preserve">Если формулу читать как среднее арифметическое</w:t>
      </w:r>
      <w:r>
        <w:rPr>
          <w:rFonts w:eastAsiaTheme="majorEastAsia"/>
          <w:i/>
          <w:sz w:val="28"/>
          <w:szCs w:val="28"/>
          <w:highlight w:val="white"/>
        </w:rPr>
      </w:r>
    </w:p>
    <w:p>
      <w:pPr>
        <w:ind w:firstLine="709"/>
        <w:jc w:val="center"/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ind w:firstLine="709"/>
        <w:jc w:val="both"/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  <w:t xml:space="preserve">Эффективность реализации государственной программы признается высокой. </w:t>
      </w:r>
      <w:r>
        <w:rPr>
          <w:rFonts w:eastAsiaTheme="majorEastAsia"/>
          <w:sz w:val="28"/>
          <w:szCs w:val="28"/>
          <w:highlight w:val="white"/>
        </w:rPr>
      </w:r>
    </w:p>
    <w:p>
      <w:pPr>
        <w:ind w:firstLine="709"/>
        <w:jc w:val="both"/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ind w:firstLine="709"/>
        <w:jc w:val="center"/>
        <w:rPr>
          <w:rFonts w:eastAsiaTheme="majorEastAsia"/>
          <w:b/>
          <w:sz w:val="28"/>
          <w:szCs w:val="28"/>
          <w:highlight w:val="white"/>
        </w:rPr>
      </w:pPr>
      <w:r>
        <w:rPr>
          <w:rFonts w:eastAsiaTheme="majorEastAsia"/>
          <w:b/>
          <w:sz w:val="28"/>
          <w:szCs w:val="28"/>
          <w:highlight w:val="white"/>
        </w:rPr>
        <w:t xml:space="preserve">Оценка эффективности реализации структурных элементов государственных программ, осуществляемых проектным способом</w:t>
      </w:r>
      <w:r>
        <w:rPr>
          <w:rFonts w:eastAsiaTheme="majorEastAsia"/>
          <w:b/>
          <w:sz w:val="28"/>
          <w:szCs w:val="28"/>
          <w:highlight w:val="white"/>
        </w:rPr>
      </w:r>
    </w:p>
    <w:p>
      <w:pPr>
        <w:ind w:firstLine="709"/>
        <w:jc w:val="center"/>
        <w:rPr>
          <w:rFonts w:eastAsiaTheme="majorEastAsia"/>
          <w:b/>
          <w:sz w:val="28"/>
          <w:szCs w:val="28"/>
          <w:highlight w:val="white"/>
        </w:rPr>
      </w:pPr>
      <w:r>
        <w:rPr>
          <w:rFonts w:eastAsiaTheme="majorEastAsia"/>
          <w:b/>
          <w:sz w:val="28"/>
          <w:szCs w:val="28"/>
          <w:highlight w:val="white"/>
        </w:rPr>
      </w:r>
      <w:r>
        <w:rPr>
          <w:rFonts w:eastAsiaTheme="majorEastAsia"/>
          <w:b/>
          <w:sz w:val="28"/>
          <w:szCs w:val="28"/>
          <w:highlight w:val="white"/>
        </w:rPr>
      </w:r>
    </w:p>
    <w:p>
      <w:pPr>
        <w:ind w:firstLine="709"/>
        <w:jc w:val="center"/>
        <w:rPr>
          <w:rFonts w:eastAsiaTheme="majorEastAsia"/>
          <w:b/>
          <w:sz w:val="28"/>
          <w:szCs w:val="28"/>
          <w:highlight w:val="white"/>
        </w:rPr>
      </w:pPr>
      <w:r>
        <w:rPr>
          <w:rFonts w:eastAsiaTheme="majorEastAsia"/>
          <w:b/>
          <w:sz w:val="28"/>
          <w:szCs w:val="28"/>
          <w:highlight w:val="white"/>
        </w:rPr>
      </w:r>
      <w:r>
        <w:rPr>
          <w:rFonts w:eastAsiaTheme="majorEastAsia"/>
          <w:b/>
          <w:sz w:val="28"/>
          <w:szCs w:val="28"/>
          <w:highlight w:val="white"/>
        </w:rPr>
      </w:r>
    </w:p>
    <w:p>
      <w:pPr>
        <w:ind w:firstLine="709"/>
        <w:jc w:val="center"/>
        <w:rPr>
          <w:rFonts w:eastAsiaTheme="majorEastAsia"/>
          <w:b/>
          <w:sz w:val="28"/>
          <w:szCs w:val="28"/>
          <w:highlight w:val="white"/>
        </w:rPr>
      </w:pPr>
      <w:r>
        <w:rPr>
          <w:rFonts w:eastAsiaTheme="majorEastAsia"/>
          <w:b/>
          <w:sz w:val="28"/>
          <w:szCs w:val="28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95400" cy="60007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295400" cy="600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02.00pt;height:47.2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eastAsiaTheme="majorEastAsia"/>
          <w:b/>
          <w:sz w:val="28"/>
          <w:szCs w:val="28"/>
          <w:highlight w:val="white"/>
        </w:rPr>
      </w:r>
    </w:p>
    <w:p>
      <w:pPr>
        <w:ind w:firstLine="709"/>
        <w:jc w:val="center"/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ind w:firstLine="709"/>
        <w:jc w:val="center"/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33600" cy="414020"/>
                <wp:effectExtent l="0" t="0" r="0" b="5080"/>
                <wp:docPr id="3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2156023" cy="41837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68.00pt;height:32.6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eastAsiaTheme="majorEastAsia"/>
          <w:sz w:val="28"/>
          <w:szCs w:val="28"/>
          <w:highlight w:val="white"/>
        </w:rPr>
      </w:r>
    </w:p>
    <w:p>
      <w:pPr>
        <w:ind w:firstLine="709"/>
        <w:jc w:val="center"/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  <w:t xml:space="preserve">П </w:t>
      </w:r>
      <w:r>
        <w:rPr>
          <w:rFonts w:eastAsiaTheme="majorEastAsia"/>
          <w:sz w:val="28"/>
          <w:szCs w:val="28"/>
          <w:highlight w:val="white"/>
        </w:rPr>
        <w:t xml:space="preserve">i(</w:t>
      </w:r>
      <w:r>
        <w:rPr>
          <w:rFonts w:eastAsiaTheme="majorEastAsia"/>
          <w:sz w:val="28"/>
          <w:szCs w:val="28"/>
          <w:highlight w:val="white"/>
        </w:rPr>
        <w:t xml:space="preserve">Р i)=З ф/З п </w:t>
      </w:r>
      <w:r>
        <w:rPr>
          <w:rFonts w:eastAsiaTheme="majorEastAsia"/>
          <w:sz w:val="28"/>
          <w:szCs w:val="28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1625" cy="301625"/>
                <wp:effectExtent l="0" t="0" r="0" b="0"/>
                <wp:docPr id="4" name="Прямоугольник 4" descr="https://internet.garant.ru/document/formula?revision=622024530&amp;text=3dDvX2o9IShTdW1tYSjPX2kpK1N1bW1hKNBfaSkpLy9O&amp;fmt=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3" o:spid="_x0000_s3" o:spt="1" type="#_x0000_t1" style="width:23.75pt;height:23.75pt;mso-wrap-distance-left:0.00pt;mso-wrap-distance-top:0.00pt;mso-wrap-distance-right:0.00pt;mso-wrap-distance-bottom:0.00pt;visibility:visible;" filled="f" stroked="f"/>
            </w:pict>
          </mc:Fallback>
        </mc:AlternateContent>
      </w:r>
      <w:r>
        <w:rPr>
          <w:rFonts w:eastAsiaTheme="majorEastAsia"/>
          <w:sz w:val="28"/>
          <w:szCs w:val="28"/>
          <w:highlight w:val="white"/>
        </w:rPr>
      </w:r>
    </w:p>
    <w:p>
      <w:pPr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tbl>
      <w:tblPr>
        <w:tblStyle w:val="901"/>
        <w:tblW w:w="10769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1723"/>
        <w:gridCol w:w="3598"/>
        <w:gridCol w:w="1418"/>
        <w:gridCol w:w="1276"/>
        <w:gridCol w:w="854"/>
        <w:gridCol w:w="1414"/>
      </w:tblGrid>
      <w:tr>
        <w:tblPrEx/>
        <w:trPr>
          <w:jc w:val="center"/>
        </w:trPr>
        <w:tc>
          <w:tcPr>
            <w:tcW w:w="4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№ п/п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Наименование регионального проекта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35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Наименование показателя, результата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bscript"/>
              </w:rPr>
            </w:pPr>
            <w:r>
              <w:rPr>
                <w:sz w:val="20"/>
                <w:szCs w:val="20"/>
                <w:highlight w:val="white"/>
              </w:rPr>
              <w:t xml:space="preserve">З</w:t>
            </w:r>
            <w:r>
              <w:rPr>
                <w:sz w:val="20"/>
                <w:szCs w:val="20"/>
                <w:highlight w:val="white"/>
                <w:vertAlign w:val="subscript"/>
              </w:rPr>
              <w:t xml:space="preserve">П</w:t>
            </w:r>
            <w:r>
              <w:rPr>
                <w:sz w:val="20"/>
                <w:szCs w:val="20"/>
                <w:highlight w:val="white"/>
                <w:vertAlign w:val="subscript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bscript"/>
              </w:rPr>
            </w:pPr>
            <w:r>
              <w:rPr>
                <w:sz w:val="20"/>
                <w:szCs w:val="20"/>
                <w:highlight w:val="white"/>
              </w:rPr>
              <w:t xml:space="preserve">З</w:t>
            </w:r>
            <w:r>
              <w:rPr>
                <w:sz w:val="20"/>
                <w:szCs w:val="20"/>
                <w:highlight w:val="white"/>
                <w:vertAlign w:val="subscript"/>
              </w:rPr>
              <w:t xml:space="preserve">ф</w:t>
            </w:r>
            <w:r>
              <w:rPr>
                <w:sz w:val="20"/>
                <w:szCs w:val="20"/>
                <w:highlight w:val="white"/>
                <w:vertAlign w:val="subscript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bscript"/>
              </w:rPr>
            </w:pPr>
            <w:r>
              <w:rPr>
                <w:sz w:val="20"/>
                <w:szCs w:val="20"/>
                <w:highlight w:val="white"/>
              </w:rPr>
              <w:t xml:space="preserve">П</w:t>
            </w:r>
            <w:r>
              <w:rPr>
                <w:sz w:val="20"/>
                <w:szCs w:val="20"/>
                <w:highlight w:val="white"/>
                <w:vertAlign w:val="subscript"/>
                <w:lang w:val="en-US"/>
              </w:rPr>
              <w:t xml:space="preserve">I</w:t>
            </w:r>
            <w:r>
              <w:rPr>
                <w:sz w:val="20"/>
                <w:szCs w:val="20"/>
                <w:highlight w:val="white"/>
                <w:vertAlign w:val="subscript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Количество показателей, характеризующих результат реализации регионального проекта, </w:t>
            </w:r>
            <w:r>
              <w:rPr>
                <w:sz w:val="20"/>
                <w:szCs w:val="20"/>
                <w:highlight w:val="white"/>
                <w:lang w:val="en-US"/>
              </w:rPr>
              <w:t xml:space="preserve">N</w:t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462"/>
        </w:trPr>
        <w:tc>
          <w:tcPr>
            <w:tcW w:w="48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1.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2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Региональный проект </w:t>
            </w:r>
            <w:r>
              <w:rPr>
                <w:sz w:val="20"/>
                <w:szCs w:val="20"/>
                <w:highlight w:val="white"/>
              </w:rPr>
              <w:t xml:space="preserve">«Региональная и местная дорожная сеть (Оренбургская область)»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146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Показатели </w:t>
            </w:r>
            <w:r>
              <w:rPr>
                <w:color w:val="000000"/>
                <w:highlight w:val="white"/>
              </w:rPr>
            </w:r>
          </w:p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4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7</w:t>
            </w:r>
            <w:r>
              <w:rPr>
                <w:highlight w:val="white"/>
              </w:rPr>
            </w:r>
          </w:p>
        </w:tc>
      </w:tr>
      <w:tr>
        <w:tblPrEx/>
        <w:trPr>
          <w:jc w:val="center"/>
          <w:trHeight w:val="898"/>
        </w:trPr>
        <w:tc>
          <w:tcPr>
            <w:tcW w:w="486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right w:val="single" w:color="auto" w:sz="4" w:space="0"/>
            </w:tcBorders>
            <w:tcW w:w="172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Доля автомобильных дорог регионального и межмуниципального значения, соответствующих нормативным требованиям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40,1843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41,7293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left w:val="single" w:color="auto" w:sz="4" w:space="0"/>
            </w:tcBorders>
            <w:tcW w:w="141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898"/>
        </w:trPr>
        <w:tc>
          <w:tcPr>
            <w:tcW w:w="486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2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Доля дорожной сети городских агломераций, находящаяся в нормативном состоянии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85,08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85,7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85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41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1129"/>
        </w:trPr>
        <w:tc>
          <w:tcPr>
            <w:tcW w:w="486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2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Доля отечественного оборудования (товаров, работ, услуг) в общем объеме закупок</w:t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100,000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100,000</w:t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85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41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2365"/>
        </w:trPr>
        <w:tc>
          <w:tcPr>
            <w:tcW w:w="486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72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(накопленным итогом)</w:t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2,1436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2,2425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85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41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714"/>
        </w:trPr>
        <w:tc>
          <w:tcPr>
            <w:tcBorders>
              <w:right w:val="single" w:color="auto" w:sz="4" w:space="0"/>
            </w:tcBorders>
            <w:tcW w:w="48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3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Доля автомобильных дорог регионального значения, входящих в опорную сеть, соответствующих нормативным требованиям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52,9001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58,7794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1423"/>
        </w:trPr>
        <w:tc>
          <w:tcPr>
            <w:tcBorders>
              <w:right w:val="single" w:color="auto" w:sz="4" w:space="0"/>
            </w:tcBorders>
            <w:tcW w:w="48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3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Доля автомобильных дорог регионального значения, входящих в опорную сеть, рассчитанных на нормативную нагрузку не менее 11,5 тонн на ось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1,4458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1,4501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141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1565"/>
        </w:trPr>
        <w:tc>
          <w:tcPr>
            <w:tcW w:w="48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1723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Доля искусственных сооружений, расположенных на автомобильных дорогах общего пользования регионального значения, входящих в опорную сеть, рассчитанных на нагрузку не менее А11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73,6029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75,2277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85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544"/>
        </w:trPr>
        <w:tc>
          <w:tcPr>
            <w:tcW w:w="48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1723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14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Результаты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</w:p>
        </w:tc>
      </w:tr>
      <w:tr>
        <w:tblPrEx/>
        <w:trPr>
          <w:jc w:val="center"/>
          <w:trHeight w:val="957"/>
        </w:trPr>
        <w:tc>
          <w:tcPr>
            <w:tcW w:w="48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1723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Обеспечено выполнение работ по приведению в нормативное состояние автомобильных дорог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85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983"/>
        </w:trPr>
        <w:tc>
          <w:tcPr>
            <w:tcW w:w="48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1723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Приведены в нормативное состояние автомобильные дороги регионального или межмуниципального, местного значения и искусственные дорожные сооружения на них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85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</w:tbl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ЭР</w:t>
      </w:r>
      <w:r>
        <w:rPr>
          <w:sz w:val="28"/>
          <w:szCs w:val="28"/>
          <w:highlight w:val="white"/>
          <w:vertAlign w:val="subscript"/>
        </w:rPr>
        <w:t xml:space="preserve">П1</w:t>
      </w:r>
      <w:r>
        <w:rPr>
          <w:sz w:val="28"/>
          <w:szCs w:val="28"/>
          <w:highlight w:val="white"/>
        </w:rPr>
        <w:t xml:space="preserve"> = (7+</w:t>
      </w:r>
      <w:r>
        <w:rPr>
          <w:sz w:val="28"/>
          <w:szCs w:val="28"/>
          <w:highlight w:val="white"/>
        </w:rPr>
        <w:t xml:space="preserve">2)/</w:t>
      </w:r>
      <w:r>
        <w:rPr>
          <w:sz w:val="28"/>
          <w:szCs w:val="28"/>
          <w:highlight w:val="white"/>
        </w:rPr>
        <w:t xml:space="preserve">9=1</w:t>
      </w:r>
      <w:r>
        <w:rPr>
          <w:sz w:val="28"/>
          <w:szCs w:val="28"/>
          <w:highlight w:val="white"/>
        </w:rPr>
      </w:r>
    </w:p>
    <w:tbl>
      <w:tblPr>
        <w:tblStyle w:val="901"/>
        <w:tblW w:w="10769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1723"/>
        <w:gridCol w:w="3598"/>
        <w:gridCol w:w="1418"/>
        <w:gridCol w:w="1276"/>
        <w:gridCol w:w="854"/>
        <w:gridCol w:w="1414"/>
      </w:tblGrid>
      <w:tr>
        <w:tblPrEx/>
        <w:trPr>
          <w:jc w:val="center"/>
          <w:trHeight w:val="572"/>
        </w:trPr>
        <w:tc>
          <w:tcPr>
            <w:tcW w:w="48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2.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2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Региональный проект «Общесистемные меры развития дорожного хозяйства» 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Показатели</w:t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4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</w:p>
        </w:tc>
      </w:tr>
      <w:tr>
        <w:tblPrEx/>
        <w:trPr>
          <w:jc w:val="center"/>
          <w:trHeight w:val="831"/>
        </w:trPr>
        <w:tc>
          <w:tcPr>
            <w:tcW w:w="486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2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Доля объектов, на которых предусматривается использование новых и наилучших технологий, включенных в Реестр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40,0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83,3</w:t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85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41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393"/>
        </w:trPr>
        <w:tc>
          <w:tcPr>
            <w:tcW w:w="48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23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4"/>
            <w:tcW w:w="714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Результаты </w:t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</w:p>
        </w:tc>
      </w:tr>
      <w:tr>
        <w:tblPrEx/>
        <w:trPr>
          <w:jc w:val="center"/>
          <w:trHeight w:val="393"/>
        </w:trPr>
        <w:tc>
          <w:tcPr>
            <w:tcW w:w="48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23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Размещены автоматические пункты весогабаритного контроля транспортных средств на автомобильных дорогах регионального или межмуниципального, местного значения</w:t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13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13</w:t>
            </w:r>
            <w:r>
              <w:rPr>
                <w:highlight w:val="white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jc w:val="center"/>
          <w:trHeight w:val="393"/>
        </w:trPr>
        <w:tc>
          <w:tcPr>
            <w:tcW w:w="48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723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Установлены стационарные камеры фотовидеофиксации нарушений правил дорожного движения на автомобильных дорогах федерального, регионального или межмуниципального, местного значения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125</w:t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125</w:t>
            </w:r>
            <w:r>
              <w:rPr>
                <w:highlight w:val="white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jc w:val="center"/>
          <w:trHeight w:val="393"/>
        </w:trPr>
        <w:tc>
          <w:tcPr>
            <w:tcBorders>
              <w:right w:val="single" w:color="auto" w:sz="4" w:space="0"/>
            </w:tcBorders>
            <w:tcW w:w="48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3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Внедрены 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  <w:t xml:space="preserve">ЭР</w:t>
      </w:r>
      <w:r>
        <w:rPr>
          <w:rFonts w:eastAsiaTheme="majorEastAsia"/>
          <w:sz w:val="28"/>
          <w:szCs w:val="28"/>
          <w:highlight w:val="white"/>
          <w:vertAlign w:val="subscript"/>
        </w:rPr>
        <w:t xml:space="preserve">П2</w:t>
      </w:r>
      <w:r>
        <w:rPr>
          <w:rFonts w:eastAsiaTheme="majorEastAsia"/>
          <w:sz w:val="28"/>
          <w:szCs w:val="28"/>
          <w:highlight w:val="white"/>
        </w:rPr>
        <w:t xml:space="preserve"> = (1+</w:t>
      </w:r>
      <w:r>
        <w:rPr>
          <w:rFonts w:eastAsiaTheme="majorEastAsia"/>
          <w:sz w:val="28"/>
          <w:szCs w:val="28"/>
          <w:highlight w:val="white"/>
        </w:rPr>
        <w:t xml:space="preserve">3)/</w:t>
      </w:r>
      <w:r>
        <w:rPr>
          <w:rFonts w:eastAsiaTheme="majorEastAsia"/>
          <w:sz w:val="28"/>
          <w:szCs w:val="28"/>
          <w:highlight w:val="white"/>
        </w:rPr>
        <w:t xml:space="preserve">4=1</w:t>
      </w:r>
      <w:r>
        <w:rPr>
          <w:rFonts w:eastAsiaTheme="majorEastAsia"/>
          <w:sz w:val="28"/>
          <w:szCs w:val="28"/>
          <w:highlight w:val="white"/>
        </w:rPr>
      </w:r>
    </w:p>
    <w:p>
      <w:pPr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align>top</wp:align>
                </wp:positionV>
                <wp:extent cx="1298575" cy="597535"/>
                <wp:effectExtent l="0" t="0" r="0" b="0"/>
                <wp:wrapSquare wrapText="bothSides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298574" cy="5975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8240;o:allowoverlap:true;o:allowincell:true;mso-position-horizontal-relative:text;mso-position-horizontal:left;mso-position-vertical-relative:text;mso-position-vertical:top;width:102.25pt;height:47.05pt;mso-wrap-distance-left:9.00pt;mso-wrap-distance-top:0.00pt;mso-wrap-distance-right:9.00pt;mso-wrap-distance-bottom:0.00pt;" stroked="false">
                <v:path textboxrect="0,0,0,0"/>
                <w10:wrap type="square"/>
                <v:imagedata r:id="rId13" o:title=""/>
              </v:shape>
            </w:pict>
          </mc:Fallback>
        </mc:AlternateContent>
      </w:r>
      <w:r>
        <w:rPr>
          <w:rFonts w:eastAsiaTheme="majorEastAsia"/>
          <w:sz w:val="28"/>
          <w:szCs w:val="28"/>
          <w:highlight w:val="white"/>
        </w:rPr>
      </w:r>
    </w:p>
    <w:p>
      <w:pPr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  <w:t xml:space="preserve">= (1+1)/2=1</w:t>
      </w:r>
      <w:r>
        <w:rPr>
          <w:rFonts w:eastAsiaTheme="majorEastAsia"/>
          <w:sz w:val="28"/>
          <w:szCs w:val="28"/>
          <w:highlight w:val="white"/>
        </w:rPr>
      </w:r>
    </w:p>
    <w:p>
      <w:pPr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both"/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  <w:t xml:space="preserve">Эффективность реализации проектных мероприятий признается высокой.</w:t>
      </w:r>
      <w:r>
        <w:rPr>
          <w:rFonts w:eastAsiaTheme="majorEastAsia"/>
          <w:sz w:val="28"/>
          <w:szCs w:val="28"/>
          <w:highlight w:val="white"/>
        </w:rPr>
        <w:br w:type="textWrapping" w:clear="all"/>
      </w:r>
      <w:r>
        <w:rPr>
          <w:rFonts w:eastAsiaTheme="majorEastAsia"/>
          <w:sz w:val="28"/>
          <w:szCs w:val="28"/>
          <w:highlight w:val="white"/>
        </w:rPr>
      </w:r>
    </w:p>
    <w:p>
      <w:pPr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center"/>
        <w:rPr>
          <w:rFonts w:eastAsiaTheme="majorEastAsia"/>
          <w:b/>
          <w:sz w:val="28"/>
          <w:szCs w:val="28"/>
          <w:highlight w:val="white"/>
        </w:rPr>
      </w:pPr>
      <w:r>
        <w:rPr>
          <w:rFonts w:eastAsiaTheme="majorEastAsia"/>
          <w:b/>
          <w:sz w:val="28"/>
          <w:szCs w:val="28"/>
          <w:highlight w:val="white"/>
        </w:rPr>
        <w:t xml:space="preserve">Оценка эффективности реализации структурных элементов государственных программ, осуществляемых за счет средств субсидий из федерального бюджета и средств областного бюджета, предусмотренных на обеспечение условий софинансирования расходов</w:t>
      </w:r>
      <w:r>
        <w:rPr>
          <w:rFonts w:eastAsiaTheme="majorEastAsia"/>
          <w:b/>
          <w:sz w:val="28"/>
          <w:szCs w:val="28"/>
          <w:highlight w:val="white"/>
        </w:rPr>
      </w:r>
    </w:p>
    <w:p>
      <w:pPr>
        <w:jc w:val="center"/>
        <w:rPr>
          <w:rFonts w:eastAsiaTheme="majorEastAsia"/>
          <w:b/>
          <w:sz w:val="28"/>
          <w:szCs w:val="28"/>
          <w:highlight w:val="white"/>
        </w:rPr>
      </w:pPr>
      <w:r>
        <w:rPr>
          <w:rFonts w:eastAsiaTheme="majorEastAsia"/>
          <w:b/>
          <w:sz w:val="28"/>
          <w:szCs w:val="28"/>
          <w:highlight w:val="white"/>
        </w:rPr>
      </w:r>
      <w:r>
        <w:rPr>
          <w:rFonts w:eastAsiaTheme="majorEastAsia"/>
          <w:b/>
          <w:sz w:val="28"/>
          <w:szCs w:val="28"/>
          <w:highlight w:val="white"/>
        </w:rPr>
      </w:r>
    </w:p>
    <w:p>
      <w:pPr>
        <w:jc w:val="center"/>
        <w:rPr>
          <w:rFonts w:eastAsiaTheme="majorEastAsia"/>
          <w:b/>
          <w:sz w:val="28"/>
          <w:szCs w:val="28"/>
          <w:highlight w:val="white"/>
        </w:rPr>
      </w:pPr>
      <w:r>
        <w:rPr>
          <w:rFonts w:eastAsiaTheme="majorEastAsia"/>
          <w:b/>
          <w:sz w:val="28"/>
          <w:szCs w:val="28"/>
          <w:highlight w:val="white"/>
        </w:rPr>
      </w:r>
      <w:r>
        <w:rPr>
          <w:rFonts w:eastAsiaTheme="majorEastAsia"/>
          <w:b/>
          <w:sz w:val="28"/>
          <w:szCs w:val="28"/>
          <w:highlight w:val="white"/>
        </w:rPr>
      </w:r>
    </w:p>
    <w:p>
      <w:pPr>
        <w:jc w:val="center"/>
        <w:rPr>
          <w:rFonts w:eastAsiaTheme="majorEastAsia"/>
          <w:b/>
          <w:sz w:val="28"/>
          <w:szCs w:val="28"/>
          <w:highlight w:val="white"/>
        </w:rPr>
      </w:pPr>
      <w:r>
        <w:rPr>
          <w:rFonts w:eastAsiaTheme="majorEastAsia"/>
          <w:b/>
          <w:sz w:val="28"/>
          <w:szCs w:val="28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43075" cy="438150"/>
                <wp:effectExtent l="0" t="0" r="9525" b="0"/>
                <wp:docPr id="6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743075" cy="43814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137.25pt;height:34.50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eastAsiaTheme="majorEastAsia"/>
          <w:b/>
          <w:sz w:val="28"/>
          <w:szCs w:val="28"/>
          <w:highlight w:val="white"/>
        </w:rPr>
      </w:r>
    </w:p>
    <w:p>
      <w:pPr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center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  <w:t xml:space="preserve">( 1- 0/ 560 651,6 )+ ( 1-0 / 742 500,0 )  / 2 = 1</w:t>
      </w:r>
      <w:r>
        <w:rPr>
          <w:rFonts w:eastAsiaTheme="majorEastAsia"/>
          <w:sz w:val="28"/>
          <w:szCs w:val="28"/>
          <w:highlight w:val="white"/>
        </w:rPr>
      </w:r>
    </w:p>
    <w:p>
      <w:pPr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  <w:t xml:space="preserve">Эффективность реализации мероприятий федерального субсидирования признается высокой.</w:t>
      </w:r>
      <w:r>
        <w:rPr>
          <w:rFonts w:eastAsiaTheme="majorEastAsia"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ind w:firstLine="709"/>
        <w:jc w:val="center"/>
        <w:tabs>
          <w:tab w:val="left" w:pos="1455" w:leader="none"/>
        </w:tabs>
        <w:rPr>
          <w:rFonts w:eastAsiaTheme="majorEastAsia"/>
          <w:b/>
          <w:sz w:val="28"/>
          <w:szCs w:val="28"/>
          <w:highlight w:val="white"/>
        </w:rPr>
      </w:pPr>
      <w:r>
        <w:rPr>
          <w:rFonts w:eastAsiaTheme="majorEastAsia"/>
          <w:b/>
          <w:sz w:val="28"/>
          <w:szCs w:val="28"/>
          <w:highlight w:val="white"/>
        </w:rPr>
      </w:r>
      <w:r>
        <w:rPr>
          <w:rFonts w:eastAsiaTheme="majorEastAsia"/>
          <w:b/>
          <w:sz w:val="28"/>
          <w:szCs w:val="28"/>
          <w:highlight w:val="white"/>
        </w:rPr>
      </w:r>
    </w:p>
    <w:p>
      <w:pPr>
        <w:ind w:firstLine="709"/>
        <w:jc w:val="center"/>
        <w:tabs>
          <w:tab w:val="left" w:pos="1455" w:leader="none"/>
        </w:tabs>
        <w:rPr>
          <w:rFonts w:eastAsiaTheme="majorEastAsia"/>
          <w:b/>
          <w:sz w:val="28"/>
          <w:szCs w:val="28"/>
          <w:highlight w:val="white"/>
        </w:rPr>
      </w:pPr>
      <w:r>
        <w:rPr>
          <w:rFonts w:eastAsiaTheme="majorEastAsia"/>
          <w:b/>
          <w:sz w:val="28"/>
          <w:szCs w:val="28"/>
          <w:highlight w:val="white"/>
        </w:rPr>
        <w:t xml:space="preserve">Оценка эффективности реализации отдельных структурных элементов государственной программы по предоставлению субсидий местным бюджетам из областного бюджета</w:t>
      </w:r>
      <w:r>
        <w:rPr>
          <w:rFonts w:eastAsiaTheme="majorEastAsia"/>
          <w:b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2275840</wp:posOffset>
                </wp:positionH>
                <wp:positionV relativeFrom="paragraph">
                  <wp:posOffset>167640</wp:posOffset>
                </wp:positionV>
                <wp:extent cx="1057275" cy="354965"/>
                <wp:effectExtent l="0" t="0" r="0" b="6985"/>
                <wp:wrapSquare wrapText="bothSides"/>
                <wp:docPr id="7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057275" cy="3549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z-index:251659264;o:allowoverlap:true;o:allowincell:true;mso-position-horizontal-relative:text;margin-left:179.20pt;mso-position-horizontal:absolute;mso-position-vertical-relative:text;margin-top:13.20pt;mso-position-vertical:absolute;width:83.25pt;height:27.95pt;mso-wrap-distance-left:9.00pt;mso-wrap-distance-top:0.00pt;mso-wrap-distance-right:9.00pt;mso-wrap-distance-bottom:0.00pt;" stroked="false">
                <v:path textboxrect="0,0,0,0"/>
                <w10:wrap type="square"/>
                <v:imagedata r:id="rId15" o:title=""/>
              </v:shape>
            </w:pict>
          </mc:Fallback>
        </mc:AlternateContent>
      </w:r>
      <w:r>
        <w:rPr>
          <w:rFonts w:eastAsiaTheme="majorEastAsia"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both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1625" cy="301625"/>
                <wp:effectExtent l="0" t="0" r="0" b="0"/>
                <wp:docPr id="8" name="AutoShape 1" descr="https://internet.garant.ru/document/formula?revision=722024530&amp;text=3dBf7z1TdW1tYSjRX2kvL04p&amp;fmt=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7" o:spid="_x0000_s7" o:spt="1" type="#_x0000_t1" style="width:23.75pt;height:23.75pt;mso-wrap-distance-left:0.00pt;mso-wrap-distance-top:0.00pt;mso-wrap-distance-right:0.00pt;mso-wrap-distance-bottom:0.00pt;visibility:visible;" filled="f" stroked="f"/>
            </w:pict>
          </mc:Fallback>
        </mc:AlternateContent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both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center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  <w:t xml:space="preserve">ЭР</w:t>
      </w:r>
      <w:r>
        <w:rPr>
          <w:rFonts w:eastAsiaTheme="majorEastAsia"/>
          <w:sz w:val="28"/>
          <w:szCs w:val="28"/>
          <w:highlight w:val="white"/>
          <w:vertAlign w:val="subscript"/>
        </w:rPr>
        <w:t xml:space="preserve">О </w:t>
      </w:r>
      <w:r>
        <w:rPr>
          <w:rFonts w:eastAsiaTheme="majorEastAsia"/>
          <w:sz w:val="28"/>
          <w:szCs w:val="28"/>
          <w:highlight w:val="white"/>
        </w:rPr>
        <w:t xml:space="preserve">=(</w:t>
      </w:r>
      <w:r>
        <w:rPr>
          <w:rFonts w:eastAsiaTheme="majorEastAsia"/>
          <w:sz w:val="28"/>
          <w:szCs w:val="28"/>
          <w:highlight w:val="white"/>
        </w:rPr>
        <w:t xml:space="preserve">0,85+1+1+1) /4=0,963</w:t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both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both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both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both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both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both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both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both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both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both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both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both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both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both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  <w:sectPr>
          <w:headerReference w:type="default" r:id="rId9"/>
          <w:footnotePr/>
          <w:endnotePr/>
          <w:type w:val="nextPage"/>
          <w:pgSz w:w="11906" w:h="16838" w:orient="portrait"/>
          <w:pgMar w:top="568" w:right="566" w:bottom="709" w:left="1276" w:header="709" w:footer="709" w:gutter="0"/>
          <w:cols w:num="1" w:sep="0" w:space="708" w:equalWidth="1"/>
          <w:docGrid w:linePitch="360"/>
          <w:titlePg/>
        </w:sect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tabs>
          <w:tab w:val="left" w:pos="1455" w:leader="none"/>
          <w:tab w:val="left" w:pos="6180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  <w:tab/>
      </w:r>
      <w:r>
        <w:rPr>
          <w:rFonts w:eastAsiaTheme="majorEastAsia"/>
          <w:sz w:val="28"/>
          <w:szCs w:val="28"/>
          <w:highlight w:val="white"/>
        </w:rPr>
        <w:tab/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center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  <w:t xml:space="preserve">Субсидии бюджету муниципального образования на софинансирование расходов по капитальному ремонту и ремонту автомобильных дорог общего пользования населенных пунктов</w:t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both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200"/>
        <w:gridCol w:w="2520"/>
        <w:gridCol w:w="1683"/>
        <w:gridCol w:w="1276"/>
        <w:gridCol w:w="1801"/>
        <w:gridCol w:w="1820"/>
      </w:tblGrid>
      <w:tr>
        <w:tblPrEx/>
        <w:trPr>
          <w:trHeight w:val="971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N</w:t>
            </w:r>
            <w:r>
              <w:rPr>
                <w:rFonts w:ascii="Times New Roman CYR" w:hAnsi="Times New Roman CYR" w:cs="Times New Roman CYR"/>
                <w:highlight w:val="white"/>
              </w:rPr>
              <w:br/>
              <w:t xml:space="preserve">п/п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0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Наименование параметра оценки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Критерий параметра оценки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Коэффициент параметра оценки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Вес параметра оценки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Значение параметра оценки (П</w:t>
            </w:r>
            <w:r>
              <w:rPr>
                <w:rFonts w:ascii="Times New Roman CYR" w:hAnsi="Times New Roman CYR" w:cs="Times New Roman CYR"/>
                <w:highlight w:val="white"/>
                <w:vertAlign w:val="subscript"/>
              </w:rPr>
              <w:t xml:space="preserve"> j</w:t>
            </w:r>
            <w:r>
              <w:rPr>
                <w:rFonts w:ascii="Times New Roman CYR" w:hAnsi="Times New Roman CYR" w:cs="Times New Roman CYR"/>
                <w:highlight w:val="white"/>
              </w:rPr>
              <w:t xml:space="preserve">)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Максимальное значение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</w:tr>
      <w:tr>
        <w:tblPrEx/>
        <w:trPr>
          <w:trHeight w:val="561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1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2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3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4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6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7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1.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Наличие не использованных по состоянию на 1 января отчетного года остатков субсидий на счетах местных бюджетов (процентов от годового объема субсидий)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 процентов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0,02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0,10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0,10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>
          <w:trHeight w:val="248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2.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Соблюдение срока распределения субсидий между муниципальными образованиями Оренбургской области, установленного правилами формирования, предоставления и распределения субсидий из </w:t>
            </w:r>
            <w:hyperlink r:id="rId16" w:tooltip="https://internet.garant.ru/document/redirect/27520188/0" w:history="1">
              <w:r>
                <w:rPr>
                  <w:rFonts w:ascii="Times New Roman CYR" w:hAnsi="Times New Roman CYR" w:cs="Times New Roman CYR"/>
                  <w:highlight w:val="white"/>
                </w:rPr>
                <w:t xml:space="preserve">областного бюджета</w:t>
              </w:r>
            </w:hyperlink>
            <w:r>
              <w:rPr>
                <w:rFonts w:ascii="Times New Roman CYR" w:hAnsi="Times New Roman CYR" w:cs="Times New Roman CYR"/>
                <w:highlight w:val="white"/>
              </w:rPr>
              <w:t xml:space="preserve"> местным бюджетам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в надлежащий срок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0,03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</w:tr>
      <w:tr>
        <w:tblPrEx/>
        <w:trPr>
          <w:trHeight w:val="198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3.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Уровень достижения главным распорядителем средств областного бюджета значений результатов использования субсидий, установленных государственной программой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100 процентов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0,03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>
          <w:trHeight w:val="1249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4.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Наличие оснований для возврата </w:t>
            </w:r>
            <w:r>
              <w:rPr>
                <w:rFonts w:ascii="Times New Roman CYR" w:hAnsi="Times New Roman CYR" w:cs="Times New Roman CYR"/>
                <w:highlight w:val="white"/>
              </w:rPr>
              <w:t xml:space="preserve">средств субсидий в областной бюджет в связи с нарушением условий предоставления субсидий, установленных правилами формирования, предоставления и распределения субсидий из областного бюджета бюджетам муниципальных образований Оренбургской области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да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3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0,03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0,00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</w:tr>
      <w:tr>
        <w:tblPrEx/>
        <w:trPr>
          <w:trHeight w:val="2669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5.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Наличие не использованных по состоянию на 1 января года, следующего за отчетным годом, остатков субсидий на счетах бюджетов муниципальных образований Оренбургской области (процентов от годового объема субсидий)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 процентов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0,02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0,10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0,10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>
          <w:trHeight w:val="992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6.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Соблюдение срока заключения соглашений о предоставлении субсидий, установленного правилами формирования, предоставления и распределения субсидий из областного бюджета бюджетам муниципальных образований Оренбургской области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в надлежащий срок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0,03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</w:tr>
      <w:tr>
        <w:tblPrEx/>
        <w:trPr>
          <w:trHeight w:val="225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>
          <w:trHeight w:val="71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7.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Заключение соглашений о предоставлении субсидий по типовой форме, утвержденной министерством финансов Оренбургской области (для субсидий источником формирования которых являются исключительно средства областного бюджета, в остальных случаях присваивается </w:t>
            </w:r>
            <w:r>
              <w:rPr>
                <w:rFonts w:ascii="Times New Roman CYR" w:hAnsi="Times New Roman CYR" w:cs="Times New Roman CYR"/>
                <w:highlight w:val="white"/>
              </w:rPr>
              <w:t xml:space="preserve">максимальное значение)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по типовой форме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0,02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0,10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0,10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8.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Полнота мер, принятых органом исп</w:t>
            </w:r>
            <w:r>
              <w:rPr>
                <w:rFonts w:ascii="Times New Roman CYR" w:hAnsi="Times New Roman CYR" w:cs="Times New Roman CYR"/>
                <w:highlight w:val="white"/>
              </w:rPr>
              <w:t xml:space="preserve">олнительной власти Оренбургской области, предоставившим субсидии, для обеспечения возврата муниципальными образованиями Оренбургской области средств в связи с нарушением условий соглашений о предоставлении субсидий (в случае наличия соответствующих фактов)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приняты все меры, установленные нормативными правовыми актами Оренбургской области, или принятие мер не требуется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0,02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0,10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</w:tr>
      <w:tr>
        <w:tblPrEx/>
        <w:trPr>
          <w:trHeight w:val="628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</w:tbl>
    <w:p>
      <w:pPr>
        <w:jc w:val="both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center"/>
        <w:tabs>
          <w:tab w:val="left" w:pos="17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  <w:t xml:space="preserve">Субсидии бюджету муниципального образования на приведение в нормативное состояние автомобильных дорог</w:t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center"/>
        <w:tabs>
          <w:tab w:val="left" w:pos="17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  <w:t xml:space="preserve"> городских агломераций</w:t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both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200"/>
        <w:gridCol w:w="2520"/>
        <w:gridCol w:w="1540"/>
        <w:gridCol w:w="1400"/>
        <w:gridCol w:w="1820"/>
        <w:gridCol w:w="1820"/>
      </w:tblGrid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N</w:t>
            </w:r>
            <w:r>
              <w:rPr>
                <w:rFonts w:ascii="Times New Roman CYR" w:hAnsi="Times New Roman CYR" w:cs="Times New Roman CYR"/>
                <w:highlight w:val="white"/>
              </w:rPr>
              <w:br/>
              <w:t xml:space="preserve">п/п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0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Наименование параметра оценки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Критерий параметра оценки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Коэффициент параметра оценки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0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Вес параметра оценки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Значение параметра оценки (П</w:t>
            </w:r>
            <w:r>
              <w:rPr>
                <w:rFonts w:ascii="Times New Roman CYR" w:hAnsi="Times New Roman CYR" w:cs="Times New Roman CYR"/>
                <w:highlight w:val="white"/>
                <w:vertAlign w:val="subscript"/>
              </w:rPr>
              <w:t xml:space="preserve"> j</w:t>
            </w:r>
            <w:r>
              <w:rPr>
                <w:rFonts w:ascii="Times New Roman CYR" w:hAnsi="Times New Roman CYR" w:cs="Times New Roman CYR"/>
                <w:highlight w:val="white"/>
              </w:rPr>
              <w:t xml:space="preserve">)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Максимальное значение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1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2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3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4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6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7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1.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Наличие не использованных по состоянию на 1 января отчетного года остатков субсидий на счетах местных бюджетов (процентов от годового объема субсидий)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 процентов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0,02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0,10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0,10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2.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Соблюдение срока распределения субсидий между муниципальными образованиями Оренбургской области, установленного правилами формирования, предоставления и распределения субсидий из </w:t>
            </w:r>
            <w:hyperlink r:id="rId17" w:tooltip="https://internet.garant.ru/document/redirect/27520188/0" w:history="1">
              <w:r>
                <w:rPr>
                  <w:rFonts w:ascii="Times New Roman CYR" w:hAnsi="Times New Roman CYR" w:cs="Times New Roman CYR"/>
                  <w:highlight w:val="white"/>
                </w:rPr>
                <w:t xml:space="preserve">областного бюджета</w:t>
              </w:r>
            </w:hyperlink>
            <w:r>
              <w:rPr>
                <w:rFonts w:ascii="Times New Roman CYR" w:hAnsi="Times New Roman CYR" w:cs="Times New Roman CYR"/>
                <w:highlight w:val="white"/>
              </w:rPr>
              <w:t xml:space="preserve"> местным бюджетам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в надлежащий срок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0,03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3.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Уровень достижения главным распорядителем средств областного бюджета значений результатов использования субсидий, установленных государственной программой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100 процентов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0,03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4.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Наличие оснований дл</w:t>
            </w:r>
            <w:r>
              <w:rPr>
                <w:rFonts w:ascii="Times New Roman CYR" w:hAnsi="Times New Roman CYR" w:cs="Times New Roman CYR"/>
                <w:highlight w:val="white"/>
              </w:rPr>
              <w:t xml:space="preserve">я возврата средств субсидий в областной бюджет в связи с нарушением условий предоставления субсидий, установленных правилами формирования, предоставления и распределения субсидий из областного бюджета бюджетам муниципальных образований Оренбургской области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нет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0,02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5.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Наличие не использованных по состоянию на 1 января года, следующего за отчетным годом, остатков субсидий на счетах бюджетов муниципальных образований Оренбургской области (процентов от годового объема субсидий)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 процентов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0,02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0,10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0,10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6.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Соблюдение срока заключения соглашений о предоставлении субсидий, установленного правилами формирования, предоставления и распределения субсидий из областного бюджета бюджетам муниципальных образований Оренбургской области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в надлежащий срок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0,03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7.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Заключение соглашений о предоставлении субсидий по типовой форме, утвержденной министерством финансов Оренбургской области (для </w:t>
            </w:r>
            <w:r>
              <w:rPr>
                <w:rFonts w:ascii="Times New Roman CYR" w:hAnsi="Times New Roman CYR" w:cs="Times New Roman CYR"/>
                <w:highlight w:val="white"/>
              </w:rPr>
              <w:t xml:space="preserve">субсидий источником формирования которых являются исключительно средства областного бюджета, в остальных случаях присваивается максимальное значение)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по типовой форме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0,02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0,10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0,10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8.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Полнота мер, принятых органом исп</w:t>
            </w:r>
            <w:r>
              <w:rPr>
                <w:rFonts w:ascii="Times New Roman CYR" w:hAnsi="Times New Roman CYR" w:cs="Times New Roman CYR"/>
                <w:highlight w:val="white"/>
              </w:rPr>
              <w:t xml:space="preserve">олнительной власти Оренбургской области, предоставившим субсидии, для обеспечения возврата муниципальными образованиями Оренбургской области средств в связи с нарушением условий соглашений о предоставлении субсидий (в случае наличия соответствующих фактов)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приняты все меры, установленные нормативными правовыми актами Оренбургской области, или принятие мер не требуется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0,02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0,10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</w:tbl>
    <w:p>
      <w:pPr>
        <w:jc w:val="both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both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center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  <w:t xml:space="preserve">Субсидии из областного бюджета бюджету муниципального образования для софинансирования расходов </w:t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center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  <w:t xml:space="preserve">на осуществление дорожной деятельности</w:t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center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200"/>
        <w:gridCol w:w="2520"/>
        <w:gridCol w:w="1540"/>
        <w:gridCol w:w="1400"/>
        <w:gridCol w:w="1820"/>
        <w:gridCol w:w="1820"/>
      </w:tblGrid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N</w:t>
            </w:r>
            <w:r>
              <w:rPr>
                <w:rFonts w:ascii="Times New Roman CYR" w:hAnsi="Times New Roman CYR" w:cs="Times New Roman CYR"/>
                <w:highlight w:val="white"/>
              </w:rPr>
              <w:br/>
              <w:t xml:space="preserve">п/п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0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Наименование параметра оценки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Критерий параметра оценки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Коэффициент параметра оценки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0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Вес параметра оценки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Значение параметра оценки (П</w:t>
            </w:r>
            <w:r>
              <w:rPr>
                <w:rFonts w:ascii="Times New Roman CYR" w:hAnsi="Times New Roman CYR" w:cs="Times New Roman CYR"/>
                <w:highlight w:val="white"/>
                <w:vertAlign w:val="subscript"/>
              </w:rPr>
              <w:t xml:space="preserve"> j</w:t>
            </w:r>
            <w:r>
              <w:rPr>
                <w:rFonts w:ascii="Times New Roman CYR" w:hAnsi="Times New Roman CYR" w:cs="Times New Roman CYR"/>
                <w:highlight w:val="white"/>
              </w:rPr>
              <w:t xml:space="preserve">)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Максимальное значение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1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2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3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4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6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7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1.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Наличие не использованных по состоянию на 1 января отчетного года остатков субсидий на счетах местных бюджетов (процентов от годового объема субсидий)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 процентов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0,02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0,10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0,10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2.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Соблюдение срока распределения субсидий между муниципальными образованиями Оренбургской области, установленного правилами формирования, предоставления и распределения субсидий из </w:t>
            </w:r>
            <w:hyperlink r:id="rId18" w:tooltip="https://internet.garant.ru/document/redirect/27520188/0" w:history="1">
              <w:r>
                <w:rPr>
                  <w:rFonts w:ascii="Times New Roman CYR" w:hAnsi="Times New Roman CYR" w:cs="Times New Roman CYR"/>
                  <w:highlight w:val="white"/>
                </w:rPr>
                <w:t xml:space="preserve">областного бюджета</w:t>
              </w:r>
            </w:hyperlink>
            <w:r>
              <w:rPr>
                <w:rFonts w:ascii="Times New Roman CYR" w:hAnsi="Times New Roman CYR" w:cs="Times New Roman CYR"/>
                <w:highlight w:val="white"/>
              </w:rPr>
              <w:t xml:space="preserve"> местным бюджетам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в надлежащий срок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0,03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3.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Уровень достижения главным распорядителем средств областного бюджета значений результатов использования субсидий, установленных государственной программой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100 процентов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0,03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4.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Наличие оснований дл</w:t>
            </w:r>
            <w:r>
              <w:rPr>
                <w:rFonts w:ascii="Times New Roman CYR" w:hAnsi="Times New Roman CYR" w:cs="Times New Roman CYR"/>
                <w:highlight w:val="white"/>
              </w:rPr>
              <w:t xml:space="preserve">я возврата средств субсидий в областной бюджет в связи с нарушением условий предоставления субсидий, установленных правилами формирования, предоставления и распределения субсидий из областного бюджета бюджетам муниципальных образований Оренбургской области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нет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0,02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5.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Наличие не использованных по состоянию на 1 января года, следующего за отчетным годом, остатков субсидий на счетах бюджетов муниципальных образований Оренбургской области (процентов от годового объема субсидий)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 процентов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0,02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0,10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0,10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6.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Соблюдение срока заключения соглашений о предоставлении субсидий, установленного правилами формирования, предоставления и распределения субсидий из областного бюджета бюджетам муниципальных образований Оренбургской области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в надлежащий срок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0,03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7.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Заключение соглашений о предоставлении субсидий по типовой </w:t>
            </w:r>
            <w:r>
              <w:rPr>
                <w:rFonts w:ascii="Times New Roman CYR" w:hAnsi="Times New Roman CYR" w:cs="Times New Roman CYR"/>
                <w:highlight w:val="white"/>
              </w:rPr>
              <w:t xml:space="preserve">форме, утвержденной министерством финансов Оренбургской области (для субсидий источником формирования которых являются исключительно средства областного бюджета, в остальных случаях присваивается максимальное значение)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по типовой форме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0,02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0,10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0,10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8.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Полнота мер, принятых органом исп</w:t>
            </w:r>
            <w:r>
              <w:rPr>
                <w:rFonts w:ascii="Times New Roman CYR" w:hAnsi="Times New Roman CYR" w:cs="Times New Roman CYR"/>
                <w:highlight w:val="white"/>
              </w:rPr>
              <w:t xml:space="preserve">олнительной власти Оренбургской области, предоставившим субсидии, для обеспечения возврата муниципальными образованиями Оренбургской области средств в связи с нарушением условий соглашений о предоставлении субсидий (в случае наличия соответствующих фактов)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приняты все меры, установленные нормативными правовыми актами Оренбургской области, или принятие мер не требуется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0,02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0,10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</w:tbl>
    <w:p>
      <w:pPr>
        <w:jc w:val="both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both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center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  <w:t xml:space="preserve">Субсидии бюджетам му</w:t>
      </w:r>
      <w:r>
        <w:rPr>
          <w:rFonts w:eastAsiaTheme="majorEastAsia"/>
          <w:sz w:val="28"/>
          <w:szCs w:val="28"/>
          <w:highlight w:val="white"/>
        </w:rPr>
        <w:t xml:space="preserve">ниципальных образований на софинансирование расходов по финансовому обеспечению затрат лизингополучателей, возникающих при оплате лизинговых платежей по договорам финансовой аренды (лизинга) подвижного состава наземного общественного транспорта (автобусов)</w:t>
      </w:r>
      <w:r>
        <w:rPr>
          <w:rFonts w:eastAsiaTheme="majorEastAsia"/>
          <w:sz w:val="28"/>
          <w:szCs w:val="28"/>
          <w:highlight w:val="white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200"/>
        <w:gridCol w:w="2520"/>
        <w:gridCol w:w="1540"/>
        <w:gridCol w:w="1400"/>
        <w:gridCol w:w="1820"/>
        <w:gridCol w:w="1820"/>
      </w:tblGrid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N</w:t>
            </w:r>
            <w:r>
              <w:rPr>
                <w:rFonts w:ascii="Times New Roman CYR" w:hAnsi="Times New Roman CYR" w:cs="Times New Roman CYR"/>
                <w:highlight w:val="white"/>
              </w:rPr>
              <w:br/>
              <w:t xml:space="preserve">п/п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0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Наименование параметра оценки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Критерий параметра оценки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Коэффициент параметра оценки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0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Вес параметра оценки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Значение параметра оценки (П</w:t>
            </w:r>
            <w:r>
              <w:rPr>
                <w:rFonts w:ascii="Times New Roman CYR" w:hAnsi="Times New Roman CYR" w:cs="Times New Roman CYR"/>
                <w:highlight w:val="white"/>
                <w:vertAlign w:val="subscript"/>
              </w:rPr>
              <w:t xml:space="preserve"> j</w:t>
            </w:r>
            <w:r>
              <w:rPr>
                <w:rFonts w:ascii="Times New Roman CYR" w:hAnsi="Times New Roman CYR" w:cs="Times New Roman CYR"/>
                <w:highlight w:val="white"/>
              </w:rPr>
              <w:t xml:space="preserve">)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Максимальное значение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1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2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3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4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6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7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1.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Наличие не использованных по состоянию на 1 января отчетного года остатков субсидий на счетах местных бюджетов (процентов от годового объема субсидий)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 процентов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0,02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0,10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0,10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2.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Соблюдение срока распределения субсидий между муниципальными образованиями Оренбургской области, установленного правилами </w:t>
            </w:r>
            <w:r>
              <w:rPr>
                <w:rFonts w:ascii="Times New Roman CYR" w:hAnsi="Times New Roman CYR" w:cs="Times New Roman CYR"/>
                <w:highlight w:val="white"/>
              </w:rPr>
              <w:t xml:space="preserve">формирования, предоставления и распределения субсидий из </w:t>
            </w:r>
            <w:hyperlink r:id="rId19" w:tooltip="https://internet.garant.ru/document/redirect/27520188/0" w:history="1">
              <w:r>
                <w:rPr>
                  <w:rFonts w:ascii="Times New Roman CYR" w:hAnsi="Times New Roman CYR" w:cs="Times New Roman CYR"/>
                  <w:highlight w:val="white"/>
                </w:rPr>
                <w:t xml:space="preserve">областного бюджета</w:t>
              </w:r>
            </w:hyperlink>
            <w:r>
              <w:rPr>
                <w:rFonts w:ascii="Times New Roman CYR" w:hAnsi="Times New Roman CYR" w:cs="Times New Roman CYR"/>
                <w:highlight w:val="white"/>
              </w:rPr>
              <w:t xml:space="preserve"> местным бюджетам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в надлежащий срок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0,03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3.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Уровень достижения главным распорядителем средств областного бюджета значений результатов использования субсидий, установленных государственной программой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100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0,03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4.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Наличие оснований дл</w:t>
            </w:r>
            <w:r>
              <w:rPr>
                <w:rFonts w:ascii="Times New Roman CYR" w:hAnsi="Times New Roman CYR" w:cs="Times New Roman CYR"/>
                <w:highlight w:val="white"/>
              </w:rPr>
              <w:t xml:space="preserve">я возврата средств субсидий в областной бюджет в связи с нарушением условий предоставления субсидий, установленных правилами формирования, предоставления и распределения субсидий из областного бюджета бюджетам муниципальных образований Оренбургской области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нет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0,03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5.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Наличие не использованных по состоянию на 1 января года, следующего за отчетным годом, остатков субсидий на счетах бюджетов муниципальных образований Оренбургской области (процентов от годового объема субсидий)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 процентов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0,02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0,10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0,10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6.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Соблюдение срока заключения соглашений о предоставлении субсидий, установленного правилами формирования, предоставления и распределения субсидий из областного бюджета бюджетам муниципальных образований Оренбургской области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в надлежащий срок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0,03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7.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Заключение соглашений</w:t>
            </w:r>
            <w:r>
              <w:rPr>
                <w:rFonts w:ascii="Times New Roman CYR" w:hAnsi="Times New Roman CYR" w:cs="Times New Roman CYR"/>
                <w:highlight w:val="white"/>
              </w:rPr>
              <w:t xml:space="preserve"> о предоставлении субсидий по типовой форме, утвержденной министерством финансов Оренбургской области (для субсидий источником формирования которых являются исключительно средства областного бюджета, в остальных случаях присваивается максимальное значение)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по типовой форме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0,02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0,10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0,10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8.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Полнота мер, принятых органом исп</w:t>
            </w:r>
            <w:r>
              <w:rPr>
                <w:rFonts w:ascii="Times New Roman CYR" w:hAnsi="Times New Roman CYR" w:cs="Times New Roman CYR"/>
                <w:highlight w:val="white"/>
              </w:rPr>
              <w:t xml:space="preserve">олнительной власти Оренбургской области, предоставившим субсидии, для обеспечения возврата муниципальными образованиями Оренбургской области средств в связи с нарушением условий соглашений о предоставлении субсидий (в случае наличия соответствующих фактов)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приняты все меры, установленные нормативными правовыми актами Оренбургской области, или принятие мер не требуется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0,02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</w:t>
            </w:r>
            <w:r>
              <w:rPr>
                <w:rFonts w:ascii="Times New Roman CYR" w:hAnsi="Times New Roman CYR" w:cs="Times New Roman CYR"/>
                <w:highlight w:val="white"/>
                <w:lang w:val="en-US"/>
              </w:rPr>
              <w:t xml:space="preserve">0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0,10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</w:tbl>
    <w:p>
      <w:pPr>
        <w:jc w:val="both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both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both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both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  <w:sectPr>
          <w:footnotePr/>
          <w:endnotePr/>
          <w:type w:val="nextPage"/>
          <w:pgSz w:w="16838" w:h="11906" w:orient="landscape"/>
          <w:pgMar w:top="993" w:right="568" w:bottom="566" w:left="1134" w:header="709" w:footer="709" w:gutter="0"/>
          <w:cols w:num="1" w:sep="0" w:space="708" w:equalWidth="1"/>
          <w:docGrid w:linePitch="360"/>
          <w:titlePg/>
        </w:sect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both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center"/>
        <w:tabs>
          <w:tab w:val="left" w:pos="1455" w:leader="none"/>
        </w:tabs>
        <w:rPr>
          <w:rFonts w:eastAsiaTheme="majorEastAsia"/>
          <w:b/>
          <w:sz w:val="28"/>
          <w:szCs w:val="28"/>
          <w:highlight w:val="white"/>
        </w:rPr>
      </w:pPr>
      <w:r>
        <w:rPr>
          <w:rFonts w:eastAsiaTheme="majorEastAsia"/>
          <w:b/>
          <w:sz w:val="28"/>
          <w:szCs w:val="28"/>
          <w:highlight w:val="white"/>
        </w:rPr>
        <w:t xml:space="preserve">Оценка эффективности бюджетных расходов на реализацию</w:t>
      </w:r>
      <w:r>
        <w:rPr>
          <w:rFonts w:eastAsiaTheme="majorEastAsia"/>
          <w:b/>
          <w:sz w:val="28"/>
          <w:szCs w:val="28"/>
          <w:highlight w:val="white"/>
        </w:rPr>
      </w:r>
    </w:p>
    <w:p>
      <w:pPr>
        <w:jc w:val="center"/>
        <w:tabs>
          <w:tab w:val="left" w:pos="1455" w:leader="none"/>
        </w:tabs>
        <w:rPr>
          <w:rFonts w:eastAsiaTheme="majorEastAsia"/>
          <w:b/>
          <w:sz w:val="28"/>
          <w:szCs w:val="28"/>
          <w:highlight w:val="white"/>
        </w:rPr>
      </w:pPr>
      <w:r>
        <w:rPr>
          <w:rFonts w:eastAsiaTheme="majorEastAsia"/>
          <w:b/>
          <w:sz w:val="28"/>
          <w:szCs w:val="28"/>
          <w:highlight w:val="white"/>
        </w:rPr>
        <w:t xml:space="preserve">государственных программ по результатам их исполнения</w:t>
      </w:r>
      <w:r>
        <w:rPr>
          <w:rFonts w:eastAsiaTheme="majorEastAsia"/>
          <w:b/>
          <w:sz w:val="28"/>
          <w:szCs w:val="28"/>
          <w:highlight w:val="white"/>
        </w:rPr>
      </w:r>
    </w:p>
    <w:p>
      <w:pPr>
        <w:jc w:val="center"/>
        <w:tabs>
          <w:tab w:val="left" w:pos="1455" w:leader="none"/>
        </w:tabs>
        <w:rPr>
          <w:rFonts w:eastAsiaTheme="majorEastAsia"/>
          <w:b/>
          <w:sz w:val="28"/>
          <w:szCs w:val="28"/>
          <w:highlight w:val="white"/>
        </w:rPr>
      </w:pPr>
      <w:r>
        <w:rPr>
          <w:rFonts w:eastAsiaTheme="majorEastAsia"/>
          <w:b/>
          <w:sz w:val="28"/>
          <w:szCs w:val="28"/>
          <w:highlight w:val="white"/>
        </w:rPr>
      </w:r>
      <w:r>
        <w:rPr>
          <w:rFonts w:eastAsiaTheme="majorEastAsia"/>
          <w:b/>
          <w:sz w:val="28"/>
          <w:szCs w:val="28"/>
          <w:highlight w:val="white"/>
        </w:rPr>
      </w:r>
    </w:p>
    <w:p>
      <w:pPr>
        <w:jc w:val="center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  <w:t xml:space="preserve">1. Оценка эффективности налоговых расходов</w:t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center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4248"/>
        <w:gridCol w:w="3170"/>
        <w:gridCol w:w="2216"/>
      </w:tblGrid>
      <w:tr>
        <w:tblPrEx/>
        <w:trPr>
          <w:trHeight w:val="1570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N п/п</w:t>
            </w:r>
            <w:r>
              <w:rPr>
                <w:highlight w:val="white"/>
              </w:rPr>
            </w:r>
          </w:p>
        </w:tc>
        <w:tc>
          <w:tcPr>
            <w:tcW w:w="424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Наименование налогового расхода</w:t>
            </w:r>
            <w:r>
              <w:rPr>
                <w:highlight w:val="white"/>
              </w:rPr>
            </w:r>
          </w:p>
        </w:tc>
        <w:tc>
          <w:tcPr>
            <w:tcW w:w="317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Результат оценки эффективности (эффективна/неэффективна)</w:t>
            </w:r>
            <w:r>
              <w:rPr>
                <w:highlight w:val="white"/>
              </w:rPr>
            </w:r>
          </w:p>
        </w:tc>
        <w:tc>
          <w:tcPr>
            <w:tcW w:w="2216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Значение коэффициента в зависимости от результата оценки (эффективна - 1, неэффективна - 0)</w:t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1.</w:t>
            </w:r>
            <w:r>
              <w:rPr>
                <w:highlight w:val="white"/>
              </w:rPr>
            </w:r>
          </w:p>
        </w:tc>
        <w:tc>
          <w:tcPr>
            <w:tcW w:w="4248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rFonts w:eastAsia="Calibri"/>
                <w:color w:val="000000"/>
                <w:highlight w:val="white"/>
                <w:lang w:eastAsia="en-US"/>
              </w:rPr>
              <w:t xml:space="preserve">В соответствии с пунктом 3 раздела 2 статьи 9 Закона Оренбургской области от 16.11.2002 № 322/66-III-ОЗ (ред. от 01.11.2021) «О тран</w:t>
            </w:r>
            <w:r>
              <w:rPr>
                <w:rFonts w:eastAsia="Calibri"/>
                <w:color w:val="000000"/>
                <w:highlight w:val="white"/>
                <w:lang w:eastAsia="en-US"/>
              </w:rPr>
              <w:t xml:space="preserve">спортном налоге»  предоставляется пониженная налоговая ставка по транспортному налогу в размере 50,0 процента в отношении организаций автотранспорта, осуществляющие пассажирские перевозки на муниципальных, межмуниципальных маршрутах, соблюдающие единые усл</w:t>
            </w:r>
            <w:r>
              <w:rPr>
                <w:rFonts w:eastAsia="Calibri"/>
                <w:color w:val="000000"/>
                <w:highlight w:val="white"/>
                <w:lang w:eastAsia="en-US"/>
              </w:rPr>
              <w:t xml:space="preserve">овия перевозки пассажиров, у которых наибольший удельный вес доходов составляют доходы от пассажирских перевозок, по транспортным средствам, осуществляющим перевозки пассажиров (кроме легкового такси и автобусов (микроавтобусов), работающих в режиме такси)</w:t>
            </w:r>
            <w:r>
              <w:rPr>
                <w:highlight w:val="white"/>
              </w:rPr>
            </w:r>
          </w:p>
        </w:tc>
        <w:tc>
          <w:tcPr>
            <w:tcW w:w="3170" w:type="dxa"/>
            <w:textDirection w:val="lrTb"/>
            <w:noWrap w:val="false"/>
          </w:tcPr>
          <w:p>
            <w:pPr>
              <w:ind w:right="-2614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эффективна</w:t>
            </w:r>
            <w:r>
              <w:rPr>
                <w:highlight w:val="white"/>
              </w:rPr>
            </w:r>
          </w:p>
        </w:tc>
        <w:tc>
          <w:tcPr>
            <w:tcW w:w="221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2.</w:t>
            </w:r>
            <w:r>
              <w:rPr>
                <w:highlight w:val="white"/>
              </w:rPr>
            </w:r>
          </w:p>
        </w:tc>
        <w:tc>
          <w:tcPr>
            <w:tcW w:w="4248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highlight w:val="white"/>
              </w:rPr>
            </w:pPr>
            <w:r>
              <w:rPr>
                <w:rFonts w:eastAsia="Calibri"/>
                <w:color w:val="000000"/>
                <w:highlight w:val="white"/>
                <w:lang w:eastAsia="en-US"/>
              </w:rPr>
              <w:t xml:space="preserve">В соответствии с пунктом 13 части 1 статьи 10 Закона Оренбургской области от 27.11.2003 № 613/70-III-ОЗ (ред. от 01.11.2021) «О налоге на имущество организаций» освобождаются от</w:t>
            </w:r>
            <w:r>
              <w:rPr>
                <w:rFonts w:eastAsia="Calibri"/>
                <w:color w:val="000000"/>
                <w:highlight w:val="white"/>
                <w:lang w:eastAsia="en-US"/>
              </w:rPr>
              <w:t xml:space="preserve"> налогообложения   организации - в отношении объектов недвижимого имущества аэродромов гражданской авиации (сооружений, предназначенных для взлета, посадки, руления и стоянки воздушных судов), переданных в федеральную собственность после 1 января 2024 года</w:t>
            </w:r>
            <w:r>
              <w:rPr>
                <w:rFonts w:eastAsia="Calibri"/>
                <w:color w:val="000000"/>
                <w:highlight w:val="white"/>
              </w:rPr>
            </w:r>
          </w:p>
        </w:tc>
        <w:tc>
          <w:tcPr>
            <w:tcW w:w="3170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эффективна</w:t>
            </w:r>
            <w:r>
              <w:rPr>
                <w:highlight w:val="white"/>
              </w:rPr>
            </w:r>
          </w:p>
        </w:tc>
        <w:tc>
          <w:tcPr>
            <w:tcW w:w="221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</w:p>
        </w:tc>
      </w:tr>
    </w:tbl>
    <w:p>
      <w:pPr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Э</w:t>
      </w:r>
      <w:r>
        <w:rPr>
          <w:sz w:val="28"/>
          <w:szCs w:val="28"/>
          <w:highlight w:val="white"/>
          <w:vertAlign w:val="subscript"/>
        </w:rPr>
        <w:t xml:space="preserve">н </w:t>
      </w:r>
      <w:r>
        <w:rPr>
          <w:sz w:val="28"/>
          <w:szCs w:val="28"/>
          <w:highlight w:val="white"/>
        </w:rPr>
        <w:t xml:space="preserve">= ∑А/</w:t>
      </w:r>
      <w:r>
        <w:rPr>
          <w:sz w:val="28"/>
          <w:szCs w:val="28"/>
          <w:highlight w:val="white"/>
          <w:lang w:val="en-US"/>
        </w:rPr>
        <w:t xml:space="preserve">N</w:t>
      </w:r>
      <w:r>
        <w:rPr>
          <w:sz w:val="28"/>
          <w:szCs w:val="28"/>
          <w:highlight w:val="white"/>
        </w:rPr>
        <w:t xml:space="preserve"> = 2/2=1</w:t>
      </w:r>
      <w:r>
        <w:rPr>
          <w:sz w:val="28"/>
          <w:szCs w:val="28"/>
          <w:highlight w:val="white"/>
        </w:rPr>
      </w:r>
    </w:p>
    <w:p>
      <w:pPr>
        <w:jc w:val="both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both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center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  <w:t xml:space="preserve">2. Оценка эффективности произведенных расходов</w:t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center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center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  <w:sectPr>
          <w:footnotePr/>
          <w:endnotePr/>
          <w:type w:val="nextPage"/>
          <w:pgSz w:w="11906" w:h="16838" w:orient="portrait"/>
          <w:pgMar w:top="568" w:right="566" w:bottom="1134" w:left="993" w:header="709" w:footer="709" w:gutter="0"/>
          <w:cols w:num="1" w:sep="0" w:space="708" w:equalWidth="1"/>
          <w:docGrid w:linePitch="360"/>
          <w:titlePg/>
        </w:sect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200"/>
        <w:gridCol w:w="2520"/>
        <w:gridCol w:w="1540"/>
        <w:gridCol w:w="1400"/>
        <w:gridCol w:w="1820"/>
        <w:gridCol w:w="1820"/>
      </w:tblGrid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N</w:t>
            </w:r>
            <w:r>
              <w:rPr>
                <w:rFonts w:ascii="Times New Roman CYR" w:hAnsi="Times New Roman CYR" w:cs="Times New Roman CYR"/>
                <w:highlight w:val="white"/>
              </w:rPr>
              <w:br/>
              <w:t xml:space="preserve">п/п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0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Наименование параметра оценки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Критерии параметра оценки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Коэффициент параметра оценки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0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Вес параметра оценки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Значение параметра оценки (П</w:t>
            </w:r>
            <w:r>
              <w:rPr>
                <w:rFonts w:ascii="Times New Roman CYR" w:hAnsi="Times New Roman CYR" w:cs="Times New Roman CYR"/>
                <w:highlight w:val="white"/>
                <w:vertAlign w:val="subscript"/>
              </w:rPr>
              <w:t xml:space="preserve"> j</w:t>
            </w:r>
            <w:r>
              <w:rPr>
                <w:rFonts w:ascii="Times New Roman CYR" w:hAnsi="Times New Roman CYR" w:cs="Times New Roman CYR"/>
                <w:highlight w:val="white"/>
              </w:rPr>
              <w:t xml:space="preserve">)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Максимальное значение параметра оценки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1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2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3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4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6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7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1.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Соблюдение сроков наступления контрольных событий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нет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0,01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0,00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0,00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2.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Соответствие запланированных затрат на реализацию государственной программы фактическим</w:t>
            </w:r>
            <w:r>
              <w:rPr>
                <w:rFonts w:ascii="Times New Roman CYR" w:hAnsi="Times New Roman CYR" w:cs="Times New Roman CYR"/>
                <w:highlight w:val="white"/>
              </w:rPr>
              <w:br/>
              <w:t xml:space="preserve">(рассчитывается как отношение абсолютного отклонения кассовых расходов </w:t>
            </w:r>
            <w:r>
              <w:rPr>
                <w:rFonts w:ascii="Times New Roman CYR" w:hAnsi="Times New Roman CYR" w:cs="Times New Roman CYR"/>
                <w:highlight w:val="white"/>
              </w:rPr>
              <w:t xml:space="preserve">от бюджетных ассигнований, утвержденных сводной бюджетной росписью, по состоянию на 1 января отчетного года, к бюджетным ассигнованиям, утвержденным сводной бюджетной росписью, по состоянию на 1 января отчетного года (без учета межбюджетных трансфертов из </w:t>
            </w:r>
            <w:hyperlink r:id="rId20" w:tooltip="https://internet.garant.ru/document/redirect/5759555/0" w:history="1">
              <w:r>
                <w:rPr>
                  <w:rFonts w:ascii="Times New Roman CYR" w:hAnsi="Times New Roman CYR" w:cs="Times New Roman CYR"/>
                  <w:highlight w:val="white"/>
                </w:rPr>
                <w:t xml:space="preserve">федерального бюджета</w:t>
              </w:r>
            </w:hyperlink>
            <w:r>
              <w:rPr>
                <w:rFonts w:ascii="Times New Roman CYR" w:hAnsi="Times New Roman CYR" w:cs="Times New Roman CYR"/>
                <w:highlight w:val="white"/>
              </w:rPr>
              <w:t xml:space="preserve">, имеющих целевое назначение, и средств </w:t>
            </w:r>
            <w:hyperlink r:id="rId21" w:tooltip="https://internet.garant.ru/document/redirect/27520188/0" w:history="1">
              <w:r>
                <w:rPr>
                  <w:rFonts w:ascii="Times New Roman CYR" w:hAnsi="Times New Roman CYR" w:cs="Times New Roman CYR"/>
                  <w:highlight w:val="white"/>
                </w:rPr>
                <w:t xml:space="preserve">областного бюджета</w:t>
              </w:r>
            </w:hyperlink>
            <w:r>
              <w:rPr>
                <w:rFonts w:ascii="Times New Roman CYR" w:hAnsi="Times New Roman CYR" w:cs="Times New Roman CYR"/>
                <w:highlight w:val="white"/>
              </w:rPr>
              <w:t xml:space="preserve">, предназначенных на обеспечение условий софинансирования расходов, расходов, осуществляемых за счет средств резервных фондов, расходов на осуществление </w:t>
            </w:r>
            <w:r>
              <w:rPr>
                <w:rFonts w:ascii="Times New Roman CYR" w:hAnsi="Times New Roman CYR" w:cs="Times New Roman CYR"/>
                <w:highlight w:val="white"/>
              </w:rPr>
              <w:t xml:space="preserve">мероприятий по оздоровлению государственных финансов), выраженное в процентах) (в случае если государственная программа реализуется исключительно за счет поступающих из федерального бюджета целевых межбюджетных трансфертов, присваивается максимальный балл)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  <w:p>
            <w:pPr>
              <w:widowControl w:val="off"/>
              <w:rPr>
                <w:bCs/>
                <w:color w:val="000000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(</w:t>
            </w:r>
            <w:r>
              <w:rPr>
                <w:bCs/>
                <w:color w:val="000000"/>
                <w:highlight w:val="white"/>
              </w:rPr>
              <w:t xml:space="preserve">16 533 403,3-584012,1-</w:t>
            </w:r>
            <w:r>
              <w:rPr>
                <w:color w:val="000000"/>
                <w:highlight w:val="white"/>
              </w:rPr>
              <w:t xml:space="preserve">750 000,0)-        (</w:t>
            </w:r>
            <w:r>
              <w:rPr>
                <w:bCs/>
                <w:color w:val="000000"/>
                <w:highlight w:val="white"/>
              </w:rPr>
              <w:t xml:space="preserve">14 855 747,0- </w:t>
            </w:r>
            <w:r>
              <w:rPr>
                <w:color w:val="000000"/>
                <w:highlight w:val="white"/>
              </w:rPr>
              <w:t xml:space="preserve">584 012,1- </w:t>
            </w:r>
            <w:r>
              <w:rPr>
                <w:bCs/>
                <w:color w:val="000000"/>
                <w:highlight w:val="white"/>
              </w:rPr>
              <w:t xml:space="preserve">49 552,1) /  (14 855 747,0- </w:t>
            </w:r>
            <w:r>
              <w:rPr>
                <w:color w:val="000000"/>
                <w:highlight w:val="white"/>
              </w:rPr>
              <w:t xml:space="preserve">584 012,1- </w:t>
            </w:r>
            <w:r>
              <w:rPr>
                <w:bCs/>
                <w:color w:val="000000"/>
                <w:highlight w:val="white"/>
              </w:rPr>
              <w:t xml:space="preserve">49 552,1) *100% =  0,068*100%=6,8%          </w:t>
            </w:r>
            <w:r>
              <w:rPr>
                <w:bCs/>
                <w:color w:val="00000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0,02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5-10 процентов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2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0,02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3.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Полнота использования поступивших из федерального бюджета целевых межбюджетных трансфертов, учитываемых в государственной программе</w:t>
            </w:r>
            <w:r>
              <w:rPr>
                <w:rFonts w:ascii="Times New Roman CYR" w:hAnsi="Times New Roman CYR" w:cs="Times New Roman CYR"/>
                <w:highlight w:val="white"/>
              </w:rPr>
              <w:br/>
              <w:t xml:space="preserve">(рассчитывается как отношение абсолютного отклонения кассовых расходов за счет межбюд</w:t>
            </w:r>
            <w:r>
              <w:rPr>
                <w:rFonts w:ascii="Times New Roman CYR" w:hAnsi="Times New Roman CYR" w:cs="Times New Roman CYR"/>
                <w:highlight w:val="white"/>
              </w:rPr>
              <w:t xml:space="preserve">жетных трансфертов из федерального бюджета, имеющих целевое назначение, от утвержденных в сводной бюджетной росписи по состоянию на конец отчетного года к расходам за счет целевых межбюджетных трансфертов из федерального бюджета, утвержденным сводной бюдже</w:t>
            </w:r>
            <w:r>
              <w:rPr>
                <w:rFonts w:ascii="Times New Roman CYR" w:hAnsi="Times New Roman CYR" w:cs="Times New Roman CYR"/>
                <w:highlight w:val="white"/>
              </w:rPr>
              <w:t xml:space="preserve">тной росписью, по состоянию на конец отчетного года, выраженное в процентах) (при отсутствии в государственной программе мероприятий, реализуемых за счет поступающих из федерального бюджета целевых межбюджетных трансфертов, присваивается максимальный балл)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(560 651,6 + 742 500,0)-( 560 651,6 + 742 500,0) / (560 651,6 + 742 500,0)=0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 процентов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0,01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4.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restart"/>
            <w:textDirection w:val="lrTb"/>
            <w:noWrap w:val="false"/>
          </w:tcPr>
          <w:p>
            <w:pPr>
              <w:pStyle w:val="888"/>
              <w:spacing w:before="0" w:beforeAutospacing="0" w:after="0" w:afterAutospacing="0" w:line="288" w:lineRule="atLeast"/>
              <w:rPr>
                <w:highlight w:val="white"/>
              </w:rPr>
            </w:pPr>
            <w:r>
              <w:rPr>
                <w:highlight w:val="white"/>
              </w:rPr>
              <w:t xml:space="preserve">Количество внесенных в правовой акт Пр</w:t>
            </w:r>
            <w:r>
              <w:rPr>
                <w:highlight w:val="white"/>
              </w:rPr>
              <w:t xml:space="preserve">авительства Оренбургской области об утверждении государственной программы изменений в отчетном году (за исключением случаев внесения изменений, связанных с отражением параметров, относящихся к сферам реализации государственных программ Российской Федерации</w:t>
            </w:r>
            <w:r>
              <w:rPr>
                <w:highlight w:val="white"/>
              </w:rPr>
              <w:t xml:space="preserve"> и их структурных элементов, параметров соглашений о реализации на территории Оренбургской области регионального проекта, обеспечивающего достижение показателей соответствующего национального и федерального проектов, межбюджетных трансфертов из федеральног</w:t>
            </w:r>
            <w:r>
              <w:rPr>
                <w:highlight w:val="white"/>
              </w:rPr>
              <w:t xml:space="preserve">о бюджета, имеющих целевое назначение, и средств областного бюджета на обеспечение условий софинансирования расходов, расходов, осуществляемых за счет средств резервных фондов, расходов на осуществление мероприятий по оздоровлению государственных финансов)</w:t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не более 2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0,01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>
          <w:trHeight w:val="2120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5.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Наличие и объективность обоснования объема неиспользованных бюджетных ассигнований на реализацию государственной программы в государственной бюджетной отчетности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да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0,01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6.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Степень достижения цели (целей) и значений показателей государственной программы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  <w:p>
            <w:pPr>
              <w:jc w:val="center"/>
              <w:rPr>
                <w:rFonts w:eastAsiaTheme="majorEastAsia"/>
                <w:sz w:val="28"/>
                <w:szCs w:val="28"/>
                <w:highlight w:val="white"/>
                <w:vertAlign w:val="subscript"/>
              </w:rPr>
            </w:pPr>
            <w:r>
              <w:rPr>
                <w:rFonts w:eastAsiaTheme="majorEastAsia"/>
                <w:sz w:val="28"/>
                <w:szCs w:val="28"/>
                <w:highlight w:val="white"/>
              </w:rPr>
              <w:t xml:space="preserve">СР </w:t>
            </w:r>
            <w:r>
              <w:rPr>
                <w:rFonts w:eastAsiaTheme="majorEastAsia"/>
                <w:sz w:val="28"/>
                <w:szCs w:val="28"/>
                <w:highlight w:val="white"/>
                <w:vertAlign w:val="subscript"/>
              </w:rPr>
              <w:t xml:space="preserve">гп </w:t>
            </w:r>
            <w:r>
              <w:rPr>
                <w:rFonts w:eastAsiaTheme="majorEastAsia"/>
                <w:sz w:val="28"/>
                <w:szCs w:val="28"/>
                <w:highlight w:val="white"/>
              </w:rPr>
              <w:t xml:space="preserve">= ∑</w:t>
            </w:r>
            <w:r>
              <w:rPr>
                <w:rFonts w:eastAsiaTheme="majorEastAsia"/>
                <w:sz w:val="28"/>
                <w:szCs w:val="28"/>
                <w:highlight w:val="white"/>
                <w:vertAlign w:val="superscript"/>
              </w:rPr>
              <w:t xml:space="preserve"> М</w:t>
            </w:r>
            <w:r>
              <w:rPr>
                <w:rFonts w:eastAsiaTheme="majorEastAsia"/>
                <w:sz w:val="28"/>
                <w:szCs w:val="28"/>
                <w:highlight w:val="white"/>
              </w:rPr>
              <w:t xml:space="preserve"> СД </w:t>
            </w:r>
            <w:r>
              <w:rPr>
                <w:rFonts w:eastAsiaTheme="majorEastAsia"/>
                <w:sz w:val="28"/>
                <w:szCs w:val="28"/>
                <w:highlight w:val="white"/>
                <w:vertAlign w:val="subscript"/>
              </w:rPr>
              <w:t xml:space="preserve">гппз </w:t>
            </w:r>
            <w:r>
              <w:rPr>
                <w:rFonts w:eastAsiaTheme="majorEastAsia"/>
                <w:sz w:val="28"/>
                <w:szCs w:val="28"/>
                <w:highlight w:val="white"/>
              </w:rPr>
              <w:t xml:space="preserve">/ </w:t>
            </w:r>
            <w:r>
              <w:rPr>
                <w:rFonts w:eastAsiaTheme="majorEastAsia"/>
                <w:sz w:val="28"/>
                <w:szCs w:val="28"/>
                <w:highlight w:val="white"/>
                <w:lang w:val="en-US"/>
              </w:rPr>
              <w:t xml:space="preserve">N</w:t>
            </w:r>
            <w:r>
              <w:rPr>
                <w:rFonts w:eastAsiaTheme="majorEastAsia"/>
                <w:sz w:val="28"/>
                <w:szCs w:val="28"/>
                <w:highlight w:val="white"/>
              </w:rPr>
              <w:t xml:space="preserve"> =12/12 = 1</w:t>
            </w:r>
            <w:r>
              <w:rPr>
                <w:rFonts w:eastAsiaTheme="majorEastAsia"/>
                <w:sz w:val="28"/>
                <w:szCs w:val="28"/>
                <w:highlight w:val="white"/>
                <w:vertAlign w:val="subscript"/>
              </w:rPr>
            </w:r>
          </w:p>
          <w:p>
            <w:pPr>
              <w:rPr>
                <w:rFonts w:eastAsiaTheme="majorEastAsia"/>
                <w:sz w:val="28"/>
                <w:szCs w:val="28"/>
                <w:highlight w:val="white"/>
              </w:rPr>
            </w:pPr>
            <w:r>
              <w:rPr>
                <w:rFonts w:eastAsiaTheme="majorEastAsia"/>
                <w:sz w:val="28"/>
                <w:szCs w:val="28"/>
                <w:highlight w:val="white"/>
                <w:vertAlign w:val="superscript"/>
              </w:rPr>
              <w:t xml:space="preserve">                       1</w:t>
            </w:r>
            <w:r>
              <w:rPr>
                <w:rFonts w:eastAsiaTheme="majorEastAsia"/>
                <w:sz w:val="28"/>
                <w:szCs w:val="28"/>
                <w:highlight w:val="white"/>
              </w:rPr>
            </w:r>
          </w:p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100 процентов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0,03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7.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Степень реализации структурного элемента государственной программы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СР</w:t>
            </w:r>
            <w:r>
              <w:rPr>
                <w:rFonts w:ascii="Times New Roman CYR" w:hAnsi="Times New Roman CYR" w:cs="Times New Roman CYR"/>
                <w:highlight w:val="white"/>
                <w:vertAlign w:val="subscript"/>
              </w:rPr>
              <w:t xml:space="preserve">сэ </w:t>
            </w:r>
            <w:r>
              <w:rPr>
                <w:rFonts w:ascii="Times New Roman CYR" w:hAnsi="Times New Roman CYR" w:cs="Times New Roman CYR"/>
                <w:highlight w:val="white"/>
              </w:rPr>
              <w:t xml:space="preserve">=(1+1+0,99+0,</w:t>
            </w:r>
            <w:r>
              <w:rPr>
                <w:rFonts w:ascii="Times New Roman CYR" w:hAnsi="Times New Roman CYR" w:cs="Times New Roman CYR"/>
                <w:highlight w:val="white"/>
              </w:rPr>
              <w:t xml:space="preserve">99)/</w:t>
            </w:r>
            <w:r>
              <w:rPr>
                <w:rFonts w:ascii="Times New Roman CYR" w:hAnsi="Times New Roman CYR" w:cs="Times New Roman CYR"/>
                <w:highlight w:val="white"/>
              </w:rPr>
              <w:t xml:space="preserve">4*100=99,5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0,03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0,12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95-100 процентов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4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0,12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8.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Достоверность достигнутых значений показателей (результатов) на основе сопоставления с данными государственного статистического наблюдения, бухгалтерской и финансовой отчетности)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достоверны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0,02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0,10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0,10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9.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Наличие правонарушений, выявленных в ходе внутреннего и внешнего государственного финансового контроля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нет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0,01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</w:tr>
      <w:tr>
        <w:tblPrEx/>
        <w:trPr>
          <w:trHeight w:val="1023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highlight w:val="white"/>
              </w:rPr>
            </w:r>
            <w:bookmarkStart w:id="0" w:name="sub_21310"/>
            <w:r>
              <w:rPr>
                <w:rFonts w:ascii="Times New Roman CYR" w:hAnsi="Times New Roman CYR" w:cs="Times New Roman CYR"/>
                <w:highlight w:val="white"/>
              </w:rPr>
              <w:t xml:space="preserve">10.</w:t>
            </w:r>
            <w:bookmarkEnd w:id="0"/>
            <w:r>
              <w:rPr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Своевременность приведения государственной программы в соответствие с </w:t>
            </w:r>
            <w:hyperlink r:id="rId22" w:tooltip="https://internet.garant.ru/document/redirect/27520188/0" w:history="1">
              <w:r>
                <w:rPr>
                  <w:rFonts w:ascii="Times New Roman CYR" w:hAnsi="Times New Roman CYR" w:cs="Times New Roman CYR"/>
                  <w:highlight w:val="white"/>
                </w:rPr>
                <w:t xml:space="preserve">законом</w:t>
              </w:r>
            </w:hyperlink>
            <w:r>
              <w:rPr>
                <w:rFonts w:ascii="Times New Roman CYR" w:hAnsi="Times New Roman CYR" w:cs="Times New Roman CYR"/>
                <w:highlight w:val="white"/>
              </w:rPr>
              <w:t xml:space="preserve"> Оренбургской области об областном бюджете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да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0,04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0,20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0,20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</w:tr>
      <w:tr>
        <w:tblPrEx/>
        <w:trPr>
          <w:trHeight w:val="89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11.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restart"/>
            <w:textDirection w:val="lrTb"/>
            <w:noWrap w:val="false"/>
          </w:tcPr>
          <w:p>
            <w:pPr>
              <w:pStyle w:val="888"/>
              <w:spacing w:before="0" w:beforeAutospacing="0" w:after="0" w:afterAutospacing="0" w:line="288" w:lineRule="atLeast"/>
              <w:rPr>
                <w:highlight w:val="white"/>
              </w:rPr>
            </w:pPr>
            <w:r>
              <w:rPr>
                <w:highlight w:val="white"/>
              </w:rPr>
              <w:t xml:space="preserve">Эффективность государственной программы Оренбургской области в части оценки налоговых расходов (в случае если государственная программа не содержит результаты, на значения которых оказывают влияние налоговые расходы, присваивается максимальный балл)</w:t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эффективны (100 процентов)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0,01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</w:tr>
      <w:tr>
        <w:tblPrEx/>
        <w:trPr>
          <w:trHeight w:val="5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>
          <w:trHeight w:val="5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12.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20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Эффективность работы по реализации государственной программы по результатам общественного обсуждения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20" w:type="dxa"/>
            <w:textDirection w:val="lrTb"/>
            <w:noWrap w:val="false"/>
          </w:tcPr>
          <w:p>
            <w:pPr>
              <w:pStyle w:val="889"/>
              <w:spacing w:before="0" w:beforeAutospacing="0" w:after="0" w:afterAutospacing="0"/>
              <w:rPr>
                <w:color w:val="22272f"/>
                <w:sz w:val="23"/>
                <w:szCs w:val="23"/>
                <w:highlight w:val="white"/>
              </w:rPr>
            </w:pPr>
            <w:r>
              <w:rPr>
                <w:rStyle w:val="903"/>
                <w:i w:val="0"/>
                <w:iCs w:val="0"/>
                <w:color w:val="22272f"/>
                <w:sz w:val="23"/>
                <w:szCs w:val="23"/>
                <w:highlight w:val="white"/>
                <w:shd w:val="clear" w:color="auto" w:fill="abe0ff"/>
              </w:rPr>
              <w:t xml:space="preserve">положительная</w:t>
            </w:r>
            <w:r>
              <w:rPr>
                <w:color w:val="22272f"/>
                <w:sz w:val="23"/>
                <w:szCs w:val="23"/>
                <w:highlight w:val="white"/>
              </w:rPr>
            </w:r>
          </w:p>
        </w:tc>
        <w:tc>
          <w:tcPr>
            <w:shd w:val="clear" w:color="auto" w:fill="f3f1e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40" w:type="dxa"/>
            <w:textDirection w:val="lrTb"/>
            <w:noWrap w:val="false"/>
          </w:tcPr>
          <w:p>
            <w:pPr>
              <w:pStyle w:val="904"/>
              <w:jc w:val="center"/>
              <w:spacing w:before="0" w:beforeAutospacing="0" w:after="0" w:afterAutospacing="0"/>
              <w:rPr>
                <w:color w:val="22272f"/>
                <w:sz w:val="23"/>
                <w:szCs w:val="23"/>
                <w:highlight w:val="white"/>
              </w:rPr>
            </w:pPr>
            <w:r>
              <w:rPr>
                <w:color w:val="22272f"/>
                <w:sz w:val="23"/>
                <w:szCs w:val="23"/>
                <w:highlight w:val="white"/>
              </w:rPr>
              <w:t xml:space="preserve">5</w:t>
            </w:r>
            <w:r>
              <w:rPr>
                <w:color w:val="22272f"/>
                <w:sz w:val="23"/>
                <w:szCs w:val="23"/>
                <w:highlight w:val="white"/>
              </w:rPr>
            </w:r>
          </w:p>
        </w:tc>
        <w:tc>
          <w:tcPr>
            <w:shd w:val="clear" w:color="auto" w:fill="f3f1e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00" w:type="dxa"/>
            <w:vMerge w:val="restart"/>
            <w:textDirection w:val="lrTb"/>
            <w:noWrap w:val="false"/>
          </w:tcPr>
          <w:p>
            <w:pPr>
              <w:pStyle w:val="904"/>
              <w:jc w:val="center"/>
              <w:spacing w:before="0" w:beforeAutospacing="0" w:after="0" w:afterAutospacing="0"/>
              <w:rPr>
                <w:color w:val="22272f"/>
                <w:sz w:val="23"/>
                <w:szCs w:val="23"/>
                <w:highlight w:val="white"/>
              </w:rPr>
            </w:pPr>
            <w:r>
              <w:rPr>
                <w:color w:val="22272f"/>
                <w:sz w:val="23"/>
                <w:szCs w:val="23"/>
                <w:highlight w:val="white"/>
              </w:rPr>
              <w:t xml:space="preserve">0,01</w:t>
            </w:r>
            <w:r>
              <w:rPr>
                <w:color w:val="22272f"/>
                <w:sz w:val="23"/>
                <w:szCs w:val="23"/>
                <w:highlight w:val="white"/>
              </w:rPr>
            </w:r>
          </w:p>
        </w:tc>
        <w:tc>
          <w:tcPr>
            <w:shd w:val="clear" w:color="auto" w:fill="f3f1e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20" w:type="dxa"/>
            <w:textDirection w:val="lrTb"/>
            <w:noWrap w:val="false"/>
          </w:tcPr>
          <w:p>
            <w:pPr>
              <w:pStyle w:val="904"/>
              <w:jc w:val="center"/>
              <w:spacing w:before="0" w:beforeAutospacing="0" w:after="0" w:afterAutospacing="0"/>
              <w:rPr>
                <w:color w:val="22272f"/>
                <w:sz w:val="23"/>
                <w:szCs w:val="23"/>
                <w:highlight w:val="white"/>
              </w:rPr>
            </w:pPr>
            <w:r>
              <w:rPr>
                <w:color w:val="22272f"/>
                <w:sz w:val="23"/>
                <w:szCs w:val="23"/>
                <w:highlight w:val="white"/>
              </w:rPr>
              <w:t xml:space="preserve">0,05</w:t>
            </w:r>
            <w:r>
              <w:rPr>
                <w:color w:val="22272f"/>
                <w:sz w:val="23"/>
                <w:szCs w:val="23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2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0,05</w:t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</w:tr>
      <w:tr>
        <w:tblPrEx/>
        <w:trPr>
          <w:trHeight w:val="5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shd w:val="clear" w:color="auto" w:fill="f3f1e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shd w:val="clear" w:color="auto" w:fill="f3f1e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00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shd w:val="clear" w:color="auto" w:fill="f3f1e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blPrEx/>
        <w:trPr>
          <w:trHeight w:val="5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20" w:type="dxa"/>
            <w:textDirection w:val="lrTb"/>
            <w:noWrap w:val="false"/>
          </w:tcPr>
          <w:p>
            <w:pPr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shd w:val="clear" w:color="auto" w:fill="f3f1e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shd w:val="clear" w:color="auto" w:fill="f3f1e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00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shd w:val="clear" w:color="auto" w:fill="f3f1e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</w:r>
            <w:r>
              <w:rPr>
                <w:rFonts w:ascii="Times New Roman CYR" w:hAnsi="Times New Roman CYR" w:cs="Times New Roman CYR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</w:tbl>
    <w:p>
      <w:pPr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center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center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  <w:t xml:space="preserve">ЭБР</w:t>
      </w:r>
      <w:r>
        <w:rPr>
          <w:rFonts w:eastAsiaTheme="majorEastAsia"/>
          <w:sz w:val="28"/>
          <w:szCs w:val="28"/>
          <w:highlight w:val="white"/>
          <w:vertAlign w:val="subscript"/>
        </w:rPr>
        <w:t xml:space="preserve">и </w:t>
      </w:r>
      <w:r>
        <w:rPr>
          <w:rFonts w:eastAsiaTheme="majorEastAsia"/>
          <w:sz w:val="28"/>
          <w:szCs w:val="28"/>
          <w:highlight w:val="white"/>
        </w:rPr>
        <w:t xml:space="preserve">= ∑ П</w:t>
      </w:r>
      <w:r>
        <w:rPr>
          <w:rFonts w:eastAsiaTheme="majorEastAsia"/>
          <w:sz w:val="28"/>
          <w:szCs w:val="28"/>
          <w:highlight w:val="white"/>
          <w:vertAlign w:val="subscript"/>
          <w:lang w:val="en-US"/>
        </w:rPr>
        <w:t xml:space="preserve">i</w:t>
      </w:r>
      <w:r>
        <w:rPr>
          <w:rFonts w:eastAsiaTheme="majorEastAsia"/>
          <w:sz w:val="28"/>
          <w:szCs w:val="28"/>
          <w:highlight w:val="white"/>
          <w:vertAlign w:val="subscript"/>
        </w:rPr>
        <w:t xml:space="preserve"> </w:t>
      </w:r>
      <w:r>
        <w:rPr>
          <w:rFonts w:eastAsiaTheme="majorEastAsia"/>
          <w:sz w:val="28"/>
          <w:szCs w:val="28"/>
          <w:highlight w:val="white"/>
        </w:rPr>
        <w:t xml:space="preserve">= </w:t>
      </w:r>
      <w:r>
        <w:rPr>
          <w:rFonts w:eastAsiaTheme="majorEastAsia"/>
          <w:sz w:val="28"/>
          <w:szCs w:val="28"/>
          <w:highlight w:val="white"/>
        </w:rPr>
        <w:t xml:space="preserve">0,</w:t>
      </w:r>
      <w:r>
        <w:rPr>
          <w:rFonts w:eastAsiaTheme="majorEastAsia"/>
          <w:sz w:val="28"/>
          <w:szCs w:val="28"/>
          <w:highlight w:val="white"/>
        </w:rPr>
        <w:t xml:space="preserve">8</w:t>
      </w:r>
      <w:r>
        <w:rPr>
          <w:rFonts w:eastAsiaTheme="majorEastAsia"/>
          <w:sz w:val="28"/>
          <w:szCs w:val="28"/>
          <w:highlight w:val="white"/>
        </w:rPr>
        <w:t xml:space="preserve">9</w:t>
      </w:r>
      <w:r>
        <w:rPr>
          <w:rFonts w:eastAsiaTheme="majorEastAsia"/>
          <w:sz w:val="28"/>
          <w:szCs w:val="28"/>
          <w:highlight w:val="white"/>
        </w:rPr>
        <w:t xml:space="preserve">0</w:t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center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center"/>
        <w:tabs>
          <w:tab w:val="left" w:pos="1455" w:leader="none"/>
        </w:tabs>
        <w:rPr>
          <w:rFonts w:eastAsiaTheme="majorEastAsia"/>
          <w:b/>
          <w:sz w:val="28"/>
          <w:szCs w:val="28"/>
          <w:highlight w:val="white"/>
        </w:rPr>
      </w:pPr>
      <w:r>
        <w:rPr>
          <w:b/>
          <w:color w:val="22272f"/>
          <w:sz w:val="28"/>
          <w:szCs w:val="28"/>
          <w:highlight w:val="white"/>
          <w:shd w:val="clear" w:color="auto" w:fill="ffffff"/>
        </w:rPr>
        <w:t xml:space="preserve">Комплексная оценка эффективности реализации государственных программ</w:t>
      </w:r>
      <w:r>
        <w:rPr>
          <w:rFonts w:eastAsiaTheme="majorEastAsia"/>
          <w:b/>
          <w:sz w:val="28"/>
          <w:szCs w:val="28"/>
          <w:highlight w:val="white"/>
        </w:rPr>
      </w:r>
    </w:p>
    <w:p>
      <w:pPr>
        <w:jc w:val="center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center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  <w:t xml:space="preserve">К</w:t>
      </w:r>
      <w:r>
        <w:rPr>
          <w:rFonts w:eastAsiaTheme="majorEastAsia"/>
          <w:sz w:val="28"/>
          <w:szCs w:val="28"/>
          <w:highlight w:val="white"/>
          <w:vertAlign w:val="subscript"/>
        </w:rPr>
        <w:t xml:space="preserve"> оэ</w:t>
      </w:r>
      <w:r>
        <w:rPr>
          <w:rFonts w:eastAsiaTheme="majorEastAsia"/>
          <w:sz w:val="28"/>
          <w:szCs w:val="28"/>
          <w:highlight w:val="white"/>
        </w:rPr>
        <w:t xml:space="preserve">=(</w:t>
      </w:r>
      <w:r>
        <w:rPr>
          <w:rFonts w:eastAsiaTheme="majorEastAsia"/>
          <w:sz w:val="28"/>
          <w:szCs w:val="28"/>
          <w:highlight w:val="white"/>
        </w:rPr>
        <w:t xml:space="preserve">ЭР</w:t>
      </w:r>
      <w:r>
        <w:rPr>
          <w:rFonts w:eastAsiaTheme="majorEastAsia"/>
          <w:sz w:val="28"/>
          <w:szCs w:val="28"/>
          <w:highlight w:val="white"/>
          <w:vertAlign w:val="subscript"/>
        </w:rPr>
        <w:t xml:space="preserve"> гп</w:t>
      </w:r>
      <w:r>
        <w:rPr>
          <w:rFonts w:eastAsiaTheme="majorEastAsia"/>
          <w:sz w:val="28"/>
          <w:szCs w:val="28"/>
          <w:highlight w:val="white"/>
        </w:rPr>
        <w:t xml:space="preserve">+ЭР</w:t>
      </w:r>
      <w:r>
        <w:rPr>
          <w:rFonts w:eastAsiaTheme="majorEastAsia"/>
          <w:sz w:val="28"/>
          <w:szCs w:val="28"/>
          <w:highlight w:val="white"/>
          <w:vertAlign w:val="subscript"/>
        </w:rPr>
        <w:t xml:space="preserve"> п</w:t>
      </w:r>
      <w:r>
        <w:rPr>
          <w:rFonts w:eastAsiaTheme="majorEastAsia"/>
          <w:sz w:val="28"/>
          <w:szCs w:val="28"/>
          <w:highlight w:val="white"/>
        </w:rPr>
        <w:t xml:space="preserve">+ЭР</w:t>
      </w:r>
      <w:r>
        <w:rPr>
          <w:rFonts w:eastAsiaTheme="majorEastAsia"/>
          <w:sz w:val="28"/>
          <w:szCs w:val="28"/>
          <w:highlight w:val="white"/>
          <w:vertAlign w:val="subscript"/>
        </w:rPr>
        <w:t xml:space="preserve"> ф</w:t>
      </w:r>
      <w:r>
        <w:rPr>
          <w:rFonts w:eastAsiaTheme="majorEastAsia"/>
          <w:sz w:val="28"/>
          <w:szCs w:val="28"/>
          <w:highlight w:val="white"/>
        </w:rPr>
        <w:t xml:space="preserve">+ЭР</w:t>
      </w:r>
      <w:r>
        <w:rPr>
          <w:rFonts w:eastAsiaTheme="majorEastAsia"/>
          <w:sz w:val="28"/>
          <w:szCs w:val="28"/>
          <w:highlight w:val="white"/>
          <w:vertAlign w:val="subscript"/>
        </w:rPr>
        <w:t xml:space="preserve"> о</w:t>
      </w:r>
      <w:r>
        <w:rPr>
          <w:rFonts w:eastAsiaTheme="majorEastAsia"/>
          <w:sz w:val="28"/>
          <w:szCs w:val="28"/>
          <w:highlight w:val="white"/>
        </w:rPr>
        <w:t xml:space="preserve">+ЭБр</w:t>
      </w:r>
      <w:r>
        <w:rPr>
          <w:rFonts w:eastAsiaTheme="majorEastAsia"/>
          <w:sz w:val="28"/>
          <w:szCs w:val="28"/>
          <w:highlight w:val="white"/>
          <w:vertAlign w:val="subscript"/>
        </w:rPr>
        <w:t xml:space="preserve"> и</w:t>
      </w:r>
      <w:r>
        <w:rPr>
          <w:rFonts w:eastAsiaTheme="majorEastAsia"/>
          <w:sz w:val="28"/>
          <w:szCs w:val="28"/>
          <w:highlight w:val="white"/>
        </w:rPr>
        <w:t xml:space="preserve">)/Н</w:t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center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p>
      <w:pPr>
        <w:tabs>
          <w:tab w:val="left" w:pos="1455" w:leader="none"/>
          <w:tab w:val="left" w:pos="5295" w:leader="none"/>
          <w:tab w:val="center" w:pos="7568" w:leader="none"/>
        </w:tabs>
        <w:rPr>
          <w:rFonts w:eastAsiaTheme="majorEastAsia"/>
          <w:b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  <w:tab/>
      </w:r>
      <w:r>
        <w:rPr>
          <w:rFonts w:eastAsiaTheme="majorEastAsia"/>
          <w:sz w:val="28"/>
          <w:szCs w:val="28"/>
          <w:highlight w:val="white"/>
        </w:rPr>
        <w:tab/>
      </w:r>
      <w:r>
        <w:rPr>
          <w:rFonts w:eastAsiaTheme="majorEastAsia"/>
          <w:sz w:val="28"/>
          <w:szCs w:val="28"/>
          <w:highlight w:val="white"/>
        </w:rPr>
        <w:tab/>
      </w:r>
      <w:r>
        <w:rPr>
          <w:rFonts w:eastAsiaTheme="majorEastAsia"/>
          <w:sz w:val="28"/>
          <w:szCs w:val="28"/>
          <w:highlight w:val="white"/>
        </w:rPr>
        <w:t xml:space="preserve">(</w:t>
      </w:r>
      <w:r>
        <w:rPr>
          <w:rFonts w:eastAsiaTheme="majorEastAsia"/>
          <w:sz w:val="28"/>
          <w:szCs w:val="28"/>
          <w:highlight w:val="white"/>
        </w:rPr>
        <w:t xml:space="preserve">0,986</w:t>
      </w:r>
      <w:r>
        <w:rPr>
          <w:rFonts w:eastAsiaTheme="majorEastAsia"/>
          <w:sz w:val="28"/>
          <w:szCs w:val="28"/>
          <w:highlight w:val="white"/>
        </w:rPr>
        <w:t xml:space="preserve">+1+1+</w:t>
      </w:r>
      <w:r>
        <w:rPr>
          <w:rFonts w:eastAsiaTheme="majorEastAsia"/>
          <w:sz w:val="28"/>
          <w:szCs w:val="28"/>
          <w:highlight w:val="white"/>
        </w:rPr>
        <w:t xml:space="preserve">0,963</w:t>
      </w:r>
      <w:r>
        <w:rPr>
          <w:rFonts w:eastAsiaTheme="majorEastAsia"/>
          <w:sz w:val="28"/>
          <w:szCs w:val="28"/>
          <w:highlight w:val="white"/>
        </w:rPr>
        <w:t xml:space="preserve">+</w:t>
      </w:r>
      <w:r>
        <w:rPr>
          <w:rFonts w:eastAsiaTheme="majorEastAsia"/>
          <w:sz w:val="28"/>
          <w:szCs w:val="28"/>
          <w:highlight w:val="white"/>
        </w:rPr>
        <w:t xml:space="preserve">0,890</w:t>
      </w:r>
      <w:r>
        <w:rPr>
          <w:rFonts w:eastAsiaTheme="majorEastAsia"/>
          <w:sz w:val="28"/>
          <w:szCs w:val="28"/>
          <w:highlight w:val="white"/>
        </w:rPr>
        <w:t xml:space="preserve">)/5=4,</w:t>
      </w:r>
      <w:r>
        <w:rPr>
          <w:rFonts w:eastAsiaTheme="majorEastAsia"/>
          <w:sz w:val="28"/>
          <w:szCs w:val="28"/>
          <w:highlight w:val="white"/>
        </w:rPr>
        <w:t xml:space="preserve">839</w:t>
      </w:r>
      <w:r>
        <w:rPr>
          <w:rFonts w:eastAsiaTheme="majorEastAsia"/>
          <w:sz w:val="28"/>
          <w:szCs w:val="28"/>
          <w:highlight w:val="white"/>
        </w:rPr>
        <w:t xml:space="preserve">/5=</w:t>
      </w:r>
      <w:r>
        <w:rPr>
          <w:rFonts w:eastAsiaTheme="majorEastAsia"/>
          <w:b/>
          <w:sz w:val="28"/>
          <w:szCs w:val="28"/>
          <w:highlight w:val="white"/>
        </w:rPr>
        <w:t xml:space="preserve">0,9</w:t>
      </w:r>
      <w:r>
        <w:rPr>
          <w:rFonts w:eastAsiaTheme="majorEastAsia"/>
          <w:b/>
          <w:sz w:val="28"/>
          <w:szCs w:val="28"/>
          <w:highlight w:val="white"/>
        </w:rPr>
        <w:t xml:space="preserve">6</w:t>
      </w:r>
      <w:r>
        <w:rPr>
          <w:rFonts w:eastAsiaTheme="majorEastAsia"/>
          <w:b/>
          <w:sz w:val="28"/>
          <w:szCs w:val="28"/>
          <w:highlight w:val="white"/>
        </w:rPr>
        <w:t xml:space="preserve">8</w:t>
      </w:r>
      <w:r>
        <w:rPr>
          <w:rFonts w:eastAsiaTheme="majorEastAsia"/>
          <w:b/>
          <w:sz w:val="28"/>
          <w:szCs w:val="28"/>
          <w:highlight w:val="white"/>
        </w:rPr>
      </w:r>
    </w:p>
    <w:p>
      <w:pPr>
        <w:jc w:val="center"/>
        <w:tabs>
          <w:tab w:val="left" w:pos="1455" w:leader="none"/>
        </w:tabs>
        <w:rPr>
          <w:rFonts w:eastAsiaTheme="majorEastAsia"/>
          <w:b/>
          <w:sz w:val="28"/>
          <w:szCs w:val="28"/>
          <w:highlight w:val="white"/>
        </w:rPr>
      </w:pPr>
      <w:r>
        <w:rPr>
          <w:rFonts w:eastAsiaTheme="majorEastAsia"/>
          <w:b/>
          <w:sz w:val="28"/>
          <w:szCs w:val="28"/>
          <w:highlight w:val="white"/>
        </w:rPr>
      </w:r>
      <w:r>
        <w:rPr>
          <w:rFonts w:eastAsiaTheme="majorEastAsia"/>
          <w:b/>
          <w:sz w:val="28"/>
          <w:szCs w:val="28"/>
          <w:highlight w:val="white"/>
        </w:rPr>
      </w:r>
    </w:p>
    <w:p>
      <w:pPr>
        <w:jc w:val="both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  <w:t xml:space="preserve">Эффективность реализации государственной программы по результатам комплексной оценки признается высокой.</w:t>
      </w:r>
      <w:r>
        <w:rPr>
          <w:rFonts w:eastAsiaTheme="majorEastAsia"/>
          <w:sz w:val="28"/>
          <w:szCs w:val="28"/>
          <w:highlight w:val="white"/>
        </w:rPr>
      </w:r>
    </w:p>
    <w:p>
      <w:pPr>
        <w:jc w:val="both"/>
        <w:tabs>
          <w:tab w:val="left" w:pos="1455" w:leader="none"/>
        </w:tabs>
        <w:rPr>
          <w:rFonts w:eastAsiaTheme="majorEastAsia"/>
          <w:sz w:val="28"/>
          <w:szCs w:val="28"/>
          <w:highlight w:val="white"/>
        </w:rPr>
      </w:pPr>
      <w:r>
        <w:rPr>
          <w:rFonts w:eastAsiaTheme="majorEastAsia"/>
          <w:sz w:val="28"/>
          <w:szCs w:val="28"/>
          <w:highlight w:val="white"/>
        </w:rPr>
      </w:r>
      <w:r>
        <w:rPr>
          <w:rFonts w:eastAsiaTheme="majorEastAsia"/>
          <w:sz w:val="28"/>
          <w:szCs w:val="28"/>
          <w:highlight w:val="white"/>
        </w:rPr>
      </w:r>
    </w:p>
    <w:sectPr>
      <w:footnotePr/>
      <w:endnotePr/>
      <w:type w:val="nextPage"/>
      <w:pgSz w:w="16838" w:h="11906" w:orient="landscape"/>
      <w:pgMar w:top="993" w:right="568" w:bottom="566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00603000000000000"/>
  </w:font>
  <w:font w:name="Cambria Math">
    <w:panose1 w:val="0200060300000000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7561540"/>
      <w:docPartObj>
        <w:docPartGallery w:val="Page Numbers (Top of Page)"/>
        <w:docPartUnique w:val="true"/>
      </w:docPartObj>
      <w:rPr/>
    </w:sdtPr>
    <w:sdtContent>
      <w:p>
        <w:pPr>
          <w:pStyle w:val="87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33</w:t>
        </w:r>
        <w:r>
          <w:fldChar w:fldCharType="end"/>
        </w:r>
        <w:r/>
      </w:p>
    </w:sdtContent>
  </w:sdt>
  <w:p>
    <w:pPr>
      <w:pStyle w:val="87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4"/>
    <w:link w:val="695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4"/>
    <w:link w:val="696"/>
    <w:uiPriority w:val="9"/>
    <w:rPr>
      <w:rFonts w:ascii="Arial" w:hAnsi="Arial" w:eastAsia="Arial" w:cs="Arial"/>
      <w:sz w:val="34"/>
    </w:rPr>
  </w:style>
  <w:style w:type="character" w:styleId="22">
    <w:name w:val="Heading 5 Char"/>
    <w:basedOn w:val="704"/>
    <w:link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04"/>
    <w:link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04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04"/>
    <w:link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04"/>
    <w:link w:val="703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04"/>
    <w:link w:val="717"/>
    <w:uiPriority w:val="10"/>
    <w:rPr>
      <w:sz w:val="48"/>
      <w:szCs w:val="48"/>
    </w:rPr>
  </w:style>
  <w:style w:type="character" w:styleId="37">
    <w:name w:val="Subtitle Char"/>
    <w:basedOn w:val="704"/>
    <w:link w:val="719"/>
    <w:uiPriority w:val="11"/>
    <w:rPr>
      <w:sz w:val="24"/>
      <w:szCs w:val="24"/>
    </w:rPr>
  </w:style>
  <w:style w:type="character" w:styleId="39">
    <w:name w:val="Quote Char"/>
    <w:link w:val="721"/>
    <w:uiPriority w:val="29"/>
    <w:rPr>
      <w:i/>
    </w:rPr>
  </w:style>
  <w:style w:type="character" w:styleId="41">
    <w:name w:val="Intense Quote Char"/>
    <w:link w:val="723"/>
    <w:uiPriority w:val="30"/>
    <w:rPr>
      <w:i/>
    </w:rPr>
  </w:style>
  <w:style w:type="character" w:styleId="47">
    <w:name w:val="Caption Char"/>
    <w:basedOn w:val="704"/>
    <w:link w:val="727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55"/>
    <w:uiPriority w:val="99"/>
    <w:rPr>
      <w:sz w:val="18"/>
    </w:rPr>
  </w:style>
  <w:style w:type="character" w:styleId="179">
    <w:name w:val="Endnote Text Char"/>
    <w:link w:val="858"/>
    <w:uiPriority w:val="99"/>
    <w:rPr>
      <w:sz w:val="20"/>
    </w:rPr>
  </w:style>
  <w:style w:type="paragraph" w:styleId="69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5">
    <w:name w:val="Heading 1"/>
    <w:basedOn w:val="694"/>
    <w:next w:val="694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6">
    <w:name w:val="Heading 2"/>
    <w:basedOn w:val="694"/>
    <w:next w:val="694"/>
    <w:link w:val="70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7">
    <w:name w:val="Heading 3"/>
    <w:basedOn w:val="694"/>
    <w:next w:val="694"/>
    <w:link w:val="872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98">
    <w:name w:val="Heading 4"/>
    <w:basedOn w:val="694"/>
    <w:next w:val="694"/>
    <w:link w:val="885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99">
    <w:name w:val="Heading 5"/>
    <w:basedOn w:val="694"/>
    <w:next w:val="694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00">
    <w:name w:val="Heading 6"/>
    <w:basedOn w:val="694"/>
    <w:next w:val="694"/>
    <w:link w:val="7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1">
    <w:name w:val="Heading 7"/>
    <w:basedOn w:val="694"/>
    <w:next w:val="694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694"/>
    <w:next w:val="694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694"/>
    <w:next w:val="694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 w:default="1">
    <w:name w:val="Default Paragraph Font"/>
    <w:uiPriority w:val="1"/>
    <w:semiHidden/>
    <w:unhideWhenUsed/>
  </w:style>
  <w:style w:type="table" w:styleId="7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6" w:default="1">
    <w:name w:val="No List"/>
    <w:uiPriority w:val="99"/>
    <w:semiHidden/>
    <w:unhideWhenUsed/>
  </w:style>
  <w:style w:type="character" w:styleId="707" w:customStyle="1">
    <w:name w:val="Заголовок 1 Знак"/>
    <w:basedOn w:val="704"/>
    <w:link w:val="695"/>
    <w:uiPriority w:val="9"/>
    <w:rPr>
      <w:rFonts w:ascii="Arial" w:hAnsi="Arial" w:eastAsia="Arial" w:cs="Arial"/>
      <w:sz w:val="40"/>
      <w:szCs w:val="40"/>
    </w:rPr>
  </w:style>
  <w:style w:type="character" w:styleId="708" w:customStyle="1">
    <w:name w:val="Заголовок 2 Знак"/>
    <w:basedOn w:val="704"/>
    <w:link w:val="696"/>
    <w:uiPriority w:val="9"/>
    <w:rPr>
      <w:rFonts w:ascii="Arial" w:hAnsi="Arial" w:eastAsia="Arial" w:cs="Arial"/>
      <w:sz w:val="34"/>
    </w:rPr>
  </w:style>
  <w:style w:type="character" w:styleId="709" w:customStyle="1">
    <w:name w:val="Heading 3 Char"/>
    <w:basedOn w:val="704"/>
    <w:uiPriority w:val="9"/>
    <w:rPr>
      <w:rFonts w:ascii="Arial" w:hAnsi="Arial" w:eastAsia="Arial" w:cs="Arial"/>
      <w:sz w:val="30"/>
      <w:szCs w:val="30"/>
    </w:rPr>
  </w:style>
  <w:style w:type="character" w:styleId="710" w:customStyle="1">
    <w:name w:val="Heading 4 Char"/>
    <w:basedOn w:val="704"/>
    <w:uiPriority w:val="9"/>
    <w:rPr>
      <w:rFonts w:ascii="Arial" w:hAnsi="Arial" w:eastAsia="Arial" w:cs="Arial"/>
      <w:b/>
      <w:bCs/>
      <w:sz w:val="26"/>
      <w:szCs w:val="26"/>
    </w:rPr>
  </w:style>
  <w:style w:type="character" w:styleId="711" w:customStyle="1">
    <w:name w:val="Заголовок 5 Знак"/>
    <w:basedOn w:val="704"/>
    <w:link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712" w:customStyle="1">
    <w:name w:val="Заголовок 6 Знак"/>
    <w:basedOn w:val="704"/>
    <w:link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713" w:customStyle="1">
    <w:name w:val="Заголовок 7 Знак"/>
    <w:basedOn w:val="704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4" w:customStyle="1">
    <w:name w:val="Заголовок 8 Знак"/>
    <w:basedOn w:val="704"/>
    <w:link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715" w:customStyle="1">
    <w:name w:val="Заголовок 9 Знак"/>
    <w:basedOn w:val="704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No Spacing"/>
    <w:uiPriority w:val="1"/>
    <w:qFormat/>
    <w:pPr>
      <w:spacing w:after="0" w:line="240" w:lineRule="auto"/>
    </w:pPr>
  </w:style>
  <w:style w:type="paragraph" w:styleId="717">
    <w:name w:val="Title"/>
    <w:basedOn w:val="694"/>
    <w:next w:val="694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 w:customStyle="1">
    <w:name w:val="Название Знак"/>
    <w:basedOn w:val="704"/>
    <w:link w:val="717"/>
    <w:uiPriority w:val="10"/>
    <w:rPr>
      <w:sz w:val="48"/>
      <w:szCs w:val="48"/>
    </w:rPr>
  </w:style>
  <w:style w:type="paragraph" w:styleId="719">
    <w:name w:val="Subtitle"/>
    <w:basedOn w:val="694"/>
    <w:next w:val="694"/>
    <w:link w:val="720"/>
    <w:uiPriority w:val="11"/>
    <w:qFormat/>
    <w:pPr>
      <w:spacing w:before="200" w:after="200"/>
    </w:pPr>
  </w:style>
  <w:style w:type="character" w:styleId="720" w:customStyle="1">
    <w:name w:val="Подзаголовок Знак"/>
    <w:basedOn w:val="704"/>
    <w:link w:val="719"/>
    <w:uiPriority w:val="11"/>
    <w:rPr>
      <w:sz w:val="24"/>
      <w:szCs w:val="24"/>
    </w:rPr>
  </w:style>
  <w:style w:type="paragraph" w:styleId="721">
    <w:name w:val="Quote"/>
    <w:basedOn w:val="694"/>
    <w:next w:val="694"/>
    <w:link w:val="722"/>
    <w:uiPriority w:val="29"/>
    <w:qFormat/>
    <w:pPr>
      <w:ind w:left="720" w:right="720"/>
    </w:pPr>
    <w:rPr>
      <w:i/>
    </w:rPr>
  </w:style>
  <w:style w:type="character" w:styleId="722" w:customStyle="1">
    <w:name w:val="Цитата 2 Знак"/>
    <w:link w:val="721"/>
    <w:uiPriority w:val="29"/>
    <w:rPr>
      <w:i/>
    </w:rPr>
  </w:style>
  <w:style w:type="paragraph" w:styleId="723">
    <w:name w:val="Intense Quote"/>
    <w:basedOn w:val="694"/>
    <w:next w:val="694"/>
    <w:link w:val="72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 w:customStyle="1">
    <w:name w:val="Выделенная цитата Знак"/>
    <w:link w:val="723"/>
    <w:uiPriority w:val="30"/>
    <w:rPr>
      <w:i/>
    </w:rPr>
  </w:style>
  <w:style w:type="character" w:styleId="725" w:customStyle="1">
    <w:name w:val="Header Char"/>
    <w:basedOn w:val="704"/>
    <w:uiPriority w:val="99"/>
  </w:style>
  <w:style w:type="character" w:styleId="726" w:customStyle="1">
    <w:name w:val="Footer Char"/>
    <w:basedOn w:val="704"/>
    <w:uiPriority w:val="99"/>
  </w:style>
  <w:style w:type="paragraph" w:styleId="727">
    <w:name w:val="Caption"/>
    <w:basedOn w:val="694"/>
    <w:next w:val="694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 w:customStyle="1">
    <w:name w:val="Название объекта Знак"/>
    <w:basedOn w:val="704"/>
    <w:link w:val="727"/>
    <w:uiPriority w:val="35"/>
    <w:rPr>
      <w:b/>
      <w:bCs/>
      <w:color w:val="4f81bd" w:themeColor="accent1"/>
      <w:sz w:val="18"/>
      <w:szCs w:val="18"/>
    </w:rPr>
  </w:style>
  <w:style w:type="table" w:styleId="729" w:customStyle="1">
    <w:name w:val="Table Grid Light"/>
    <w:basedOn w:val="70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0">
    <w:name w:val="Plain Table 1"/>
    <w:basedOn w:val="70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70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 w:customStyle="1">
    <w:name w:val="Grid Table 4 - Accent 1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8" w:customStyle="1">
    <w:name w:val="Grid Table 4 - Accent 2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9" w:customStyle="1">
    <w:name w:val="Grid Table 4 - Accent 3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0" w:customStyle="1">
    <w:name w:val="Grid Table 4 - Accent 4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1" w:customStyle="1">
    <w:name w:val="Grid Table 4 - Accent 5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2" w:customStyle="1">
    <w:name w:val="Grid Table 4 - Accent 6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3">
    <w:name w:val="Grid Table 5 Dark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0">
    <w:name w:val="Grid Table 6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1" w:customStyle="1">
    <w:name w:val="Grid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2" w:customStyle="1">
    <w:name w:val="Grid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3" w:customStyle="1">
    <w:name w:val="Grid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4" w:customStyle="1">
    <w:name w:val="Grid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5" w:customStyle="1">
    <w:name w:val="Grid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6" w:customStyle="1">
    <w:name w:val="Grid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7">
    <w:name w:val="Grid Table 7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1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2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3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4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5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6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>
    <w:name w:val="List Table 6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0" w:customStyle="1">
    <w:name w:val="List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1" w:customStyle="1">
    <w:name w:val="List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2" w:customStyle="1">
    <w:name w:val="List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3" w:customStyle="1">
    <w:name w:val="List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4" w:customStyle="1">
    <w:name w:val="List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5" w:customStyle="1">
    <w:name w:val="List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6">
    <w:name w:val="List Table 7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ned - Accent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Lined - Accent 1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5" w:customStyle="1">
    <w:name w:val="Lined - Accent 2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6" w:customStyle="1">
    <w:name w:val="Lined - Accent 3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7" w:customStyle="1">
    <w:name w:val="Lined - Accent 4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8" w:customStyle="1">
    <w:name w:val="Lined - Accent 5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9" w:customStyle="1">
    <w:name w:val="Lined - Accent 6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0" w:customStyle="1">
    <w:name w:val="Bordered &amp; Lined - Accent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Bordered &amp; Lined - Accent 1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2" w:customStyle="1">
    <w:name w:val="Bordered &amp; Lined - Accent 2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3" w:customStyle="1">
    <w:name w:val="Bordered &amp; Lined - Accent 3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4" w:customStyle="1">
    <w:name w:val="Bordered &amp; Lined - Accent 4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5" w:customStyle="1">
    <w:name w:val="Bordered &amp; Lined - Accent 5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6" w:customStyle="1">
    <w:name w:val="Bordered &amp; Lined - Accent 6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7" w:customStyle="1">
    <w:name w:val="Bordered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8" w:customStyle="1">
    <w:name w:val="Bordered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9" w:customStyle="1">
    <w:name w:val="Bordered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0" w:customStyle="1">
    <w:name w:val="Bordered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1" w:customStyle="1">
    <w:name w:val="Bordered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2" w:customStyle="1">
    <w:name w:val="Bordered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3" w:customStyle="1">
    <w:name w:val="Bordered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694"/>
    <w:link w:val="856"/>
    <w:uiPriority w:val="99"/>
    <w:semiHidden/>
    <w:unhideWhenUsed/>
    <w:pPr>
      <w:spacing w:after="40"/>
    </w:pPr>
    <w:rPr>
      <w:sz w:val="18"/>
    </w:rPr>
  </w:style>
  <w:style w:type="character" w:styleId="856" w:customStyle="1">
    <w:name w:val="Текст сноски Знак"/>
    <w:link w:val="855"/>
    <w:uiPriority w:val="99"/>
    <w:rPr>
      <w:sz w:val="18"/>
    </w:rPr>
  </w:style>
  <w:style w:type="character" w:styleId="857">
    <w:name w:val="footnote reference"/>
    <w:basedOn w:val="704"/>
    <w:uiPriority w:val="99"/>
    <w:unhideWhenUsed/>
    <w:rPr>
      <w:vertAlign w:val="superscript"/>
    </w:rPr>
  </w:style>
  <w:style w:type="paragraph" w:styleId="858">
    <w:name w:val="endnote text"/>
    <w:basedOn w:val="694"/>
    <w:link w:val="859"/>
    <w:uiPriority w:val="99"/>
    <w:semiHidden/>
    <w:unhideWhenUsed/>
    <w:rPr>
      <w:sz w:val="20"/>
    </w:rPr>
  </w:style>
  <w:style w:type="character" w:styleId="859" w:customStyle="1">
    <w:name w:val="Текст концевой сноски Знак"/>
    <w:link w:val="858"/>
    <w:uiPriority w:val="99"/>
    <w:rPr>
      <w:sz w:val="20"/>
    </w:rPr>
  </w:style>
  <w:style w:type="character" w:styleId="860">
    <w:name w:val="endnote reference"/>
    <w:basedOn w:val="704"/>
    <w:uiPriority w:val="99"/>
    <w:semiHidden/>
    <w:unhideWhenUsed/>
    <w:rPr>
      <w:vertAlign w:val="superscript"/>
    </w:rPr>
  </w:style>
  <w:style w:type="paragraph" w:styleId="861">
    <w:name w:val="toc 1"/>
    <w:basedOn w:val="694"/>
    <w:next w:val="694"/>
    <w:uiPriority w:val="39"/>
    <w:unhideWhenUsed/>
    <w:pPr>
      <w:spacing w:after="57"/>
    </w:pPr>
  </w:style>
  <w:style w:type="paragraph" w:styleId="862">
    <w:name w:val="toc 2"/>
    <w:basedOn w:val="694"/>
    <w:next w:val="694"/>
    <w:uiPriority w:val="39"/>
    <w:unhideWhenUsed/>
    <w:pPr>
      <w:ind w:left="283"/>
      <w:spacing w:after="57"/>
    </w:pPr>
  </w:style>
  <w:style w:type="paragraph" w:styleId="863">
    <w:name w:val="toc 3"/>
    <w:basedOn w:val="694"/>
    <w:next w:val="694"/>
    <w:uiPriority w:val="39"/>
    <w:unhideWhenUsed/>
    <w:pPr>
      <w:ind w:left="567"/>
      <w:spacing w:after="57"/>
    </w:pPr>
  </w:style>
  <w:style w:type="paragraph" w:styleId="864">
    <w:name w:val="toc 4"/>
    <w:basedOn w:val="694"/>
    <w:next w:val="694"/>
    <w:uiPriority w:val="39"/>
    <w:unhideWhenUsed/>
    <w:pPr>
      <w:ind w:left="850"/>
      <w:spacing w:after="57"/>
    </w:pPr>
  </w:style>
  <w:style w:type="paragraph" w:styleId="865">
    <w:name w:val="toc 5"/>
    <w:basedOn w:val="694"/>
    <w:next w:val="694"/>
    <w:uiPriority w:val="39"/>
    <w:unhideWhenUsed/>
    <w:pPr>
      <w:ind w:left="1134"/>
      <w:spacing w:after="57"/>
    </w:pPr>
  </w:style>
  <w:style w:type="paragraph" w:styleId="866">
    <w:name w:val="toc 6"/>
    <w:basedOn w:val="694"/>
    <w:next w:val="694"/>
    <w:uiPriority w:val="39"/>
    <w:unhideWhenUsed/>
    <w:pPr>
      <w:ind w:left="1417"/>
      <w:spacing w:after="57"/>
    </w:pPr>
  </w:style>
  <w:style w:type="paragraph" w:styleId="867">
    <w:name w:val="toc 7"/>
    <w:basedOn w:val="694"/>
    <w:next w:val="694"/>
    <w:uiPriority w:val="39"/>
    <w:unhideWhenUsed/>
    <w:pPr>
      <w:ind w:left="1701"/>
      <w:spacing w:after="57"/>
    </w:pPr>
  </w:style>
  <w:style w:type="paragraph" w:styleId="868">
    <w:name w:val="toc 8"/>
    <w:basedOn w:val="694"/>
    <w:next w:val="694"/>
    <w:uiPriority w:val="39"/>
    <w:unhideWhenUsed/>
    <w:pPr>
      <w:ind w:left="1984"/>
      <w:spacing w:after="57"/>
    </w:pPr>
  </w:style>
  <w:style w:type="paragraph" w:styleId="869">
    <w:name w:val="toc 9"/>
    <w:basedOn w:val="694"/>
    <w:next w:val="694"/>
    <w:uiPriority w:val="39"/>
    <w:unhideWhenUsed/>
    <w:pPr>
      <w:ind w:left="2268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694"/>
    <w:next w:val="694"/>
    <w:uiPriority w:val="99"/>
    <w:unhideWhenUsed/>
  </w:style>
  <w:style w:type="character" w:styleId="872" w:customStyle="1">
    <w:name w:val="Заголовок 3 Знак"/>
    <w:basedOn w:val="704"/>
    <w:link w:val="697"/>
    <w:rPr>
      <w:rFonts w:ascii="Arial" w:hAnsi="Arial" w:eastAsia="Times New Roman" w:cs="Arial"/>
      <w:b/>
      <w:bCs/>
      <w:sz w:val="26"/>
      <w:szCs w:val="26"/>
      <w:lang w:eastAsia="ru-RU"/>
    </w:rPr>
  </w:style>
  <w:style w:type="paragraph" w:styleId="873">
    <w:name w:val="List Paragraph"/>
    <w:basedOn w:val="69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74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875" w:customStyle="1">
    <w:name w:val="Font Style11"/>
    <w:basedOn w:val="704"/>
    <w:uiPriority w:val="99"/>
    <w:rPr>
      <w:rFonts w:hint="default" w:ascii="Times New Roman" w:hAnsi="Times New Roman" w:cs="Times New Roman"/>
      <w:b/>
      <w:bCs/>
      <w:sz w:val="22"/>
      <w:szCs w:val="22"/>
    </w:rPr>
  </w:style>
  <w:style w:type="paragraph" w:styleId="876" w:customStyle="1">
    <w:name w:val="ConsPlusCell"/>
    <w:pPr>
      <w:widowControl w:val="off"/>
    </w:pPr>
    <w:rPr>
      <w:rFonts w:ascii="Arial" w:hAnsi="Arial" w:eastAsia="Times New Roman" w:cs="Arial"/>
      <w:lang w:eastAsia="ru-RU"/>
    </w:rPr>
  </w:style>
  <w:style w:type="table" w:styleId="877">
    <w:name w:val="Table Grid"/>
    <w:basedOn w:val="70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8">
    <w:name w:val="Header"/>
    <w:basedOn w:val="694"/>
    <w:link w:val="87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9" w:customStyle="1">
    <w:name w:val="Верхний колонтитул Знак"/>
    <w:basedOn w:val="704"/>
    <w:link w:val="87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0">
    <w:name w:val="Footer"/>
    <w:basedOn w:val="694"/>
    <w:link w:val="88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1" w:customStyle="1">
    <w:name w:val="Нижний колонтитул Знак"/>
    <w:basedOn w:val="704"/>
    <w:link w:val="88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2" w:customStyle="1">
    <w:name w:val="Прижатый влево"/>
    <w:basedOn w:val="694"/>
    <w:next w:val="694"/>
    <w:uiPriority w:val="99"/>
    <w:rPr>
      <w:rFonts w:ascii="Arial" w:hAnsi="Arial" w:cs="Arial"/>
    </w:rPr>
  </w:style>
  <w:style w:type="paragraph" w:styleId="883">
    <w:name w:val="Body Text Indent 2"/>
    <w:basedOn w:val="694"/>
    <w:link w:val="884"/>
    <w:pPr>
      <w:ind w:left="283"/>
      <w:spacing w:after="120" w:line="480" w:lineRule="auto"/>
    </w:pPr>
  </w:style>
  <w:style w:type="character" w:styleId="884" w:customStyle="1">
    <w:name w:val="Основной текст с отступом 2 Знак"/>
    <w:basedOn w:val="704"/>
    <w:link w:val="88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5" w:customStyle="1">
    <w:name w:val="Заголовок 4 Знак"/>
    <w:basedOn w:val="704"/>
    <w:link w:val="698"/>
    <w:semiHidden/>
    <w:rPr>
      <w:rFonts w:ascii="Calibri" w:hAnsi="Calibri" w:eastAsia="Times New Roman" w:cs="Times New Roman"/>
      <w:b/>
      <w:bCs/>
      <w:sz w:val="28"/>
      <w:szCs w:val="28"/>
      <w:lang w:eastAsia="ru-RU"/>
    </w:rPr>
  </w:style>
  <w:style w:type="paragraph" w:styleId="886">
    <w:name w:val="Body Text"/>
    <w:basedOn w:val="694"/>
    <w:link w:val="887"/>
    <w:pPr>
      <w:spacing w:after="120"/>
    </w:pPr>
  </w:style>
  <w:style w:type="character" w:styleId="887" w:customStyle="1">
    <w:name w:val="Основной текст Знак"/>
    <w:basedOn w:val="704"/>
    <w:link w:val="886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8">
    <w:name w:val="Normal (Web)"/>
    <w:basedOn w:val="694"/>
    <w:uiPriority w:val="99"/>
    <w:pPr>
      <w:spacing w:before="100" w:beforeAutospacing="1" w:after="100" w:afterAutospacing="1"/>
    </w:pPr>
  </w:style>
  <w:style w:type="paragraph" w:styleId="889" w:customStyle="1">
    <w:name w:val="s_16"/>
    <w:basedOn w:val="694"/>
    <w:pPr>
      <w:spacing w:before="100" w:beforeAutospacing="1" w:after="100" w:afterAutospacing="1"/>
    </w:pPr>
  </w:style>
  <w:style w:type="paragraph" w:styleId="890" w:customStyle="1">
    <w:name w:val="Кeбычный1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91">
    <w:name w:val="Body Text 2"/>
    <w:basedOn w:val="694"/>
    <w:link w:val="892"/>
    <w:pPr>
      <w:spacing w:after="120" w:line="480" w:lineRule="auto"/>
    </w:pPr>
  </w:style>
  <w:style w:type="character" w:styleId="892" w:customStyle="1">
    <w:name w:val="Основной текст 2 Знак"/>
    <w:basedOn w:val="704"/>
    <w:link w:val="89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3" w:customStyle="1">
    <w:name w:val="Block Quotation"/>
    <w:basedOn w:val="694"/>
    <w:link w:val="894"/>
    <w:pPr>
      <w:ind w:left="567" w:right="-2" w:firstLine="851"/>
      <w:jc w:val="both"/>
      <w:widowControl w:val="off"/>
    </w:pPr>
    <w:rPr>
      <w:sz w:val="28"/>
      <w:szCs w:val="28"/>
    </w:rPr>
  </w:style>
  <w:style w:type="character" w:styleId="894" w:customStyle="1">
    <w:name w:val="Block Quotation Знак"/>
    <w:basedOn w:val="704"/>
    <w:link w:val="893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95">
    <w:name w:val="Balloon Text"/>
    <w:basedOn w:val="694"/>
    <w:link w:val="896"/>
    <w:uiPriority w:val="99"/>
    <w:semiHidden/>
    <w:unhideWhenUsed/>
    <w:rPr>
      <w:rFonts w:ascii="Tahoma" w:hAnsi="Tahoma" w:cs="Tahoma"/>
      <w:sz w:val="16"/>
      <w:szCs w:val="16"/>
    </w:rPr>
  </w:style>
  <w:style w:type="character" w:styleId="896" w:customStyle="1">
    <w:name w:val="Текст выноски Знак"/>
    <w:basedOn w:val="704"/>
    <w:link w:val="895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97" w:customStyle="1">
    <w:name w:val="CharStyle240"/>
    <w:rPr>
      <w:rFonts w:ascii="Times New Roman" w:hAnsi="Times New Roman" w:cs="Times New Roman"/>
      <w:spacing w:val="10"/>
      <w:sz w:val="24"/>
      <w:szCs w:val="24"/>
    </w:rPr>
  </w:style>
  <w:style w:type="paragraph" w:styleId="898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99" w:customStyle="1">
    <w:name w:val="Абзац списка1"/>
    <w:basedOn w:val="694"/>
    <w:pPr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900" w:customStyle="1">
    <w:name w:val="Гипертекстовая ссылка"/>
    <w:basedOn w:val="704"/>
    <w:uiPriority w:val="99"/>
    <w:rPr>
      <w:rFonts w:hint="default" w:ascii="Times New Roman" w:hAnsi="Times New Roman" w:cs="Times New Roman"/>
      <w:b w:val="0"/>
      <w:bCs w:val="0"/>
      <w:color w:val="000000"/>
    </w:rPr>
  </w:style>
  <w:style w:type="table" w:styleId="901" w:customStyle="1">
    <w:name w:val="Сетка таблицы1"/>
    <w:basedOn w:val="705"/>
    <w:next w:val="87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02">
    <w:name w:val="Placeholder Text"/>
    <w:basedOn w:val="704"/>
    <w:uiPriority w:val="99"/>
    <w:semiHidden/>
    <w:rPr>
      <w:color w:val="808080"/>
    </w:rPr>
  </w:style>
  <w:style w:type="character" w:styleId="903">
    <w:name w:val="Emphasis"/>
    <w:basedOn w:val="704"/>
    <w:uiPriority w:val="20"/>
    <w:qFormat/>
    <w:rPr>
      <w:i/>
      <w:iCs/>
    </w:rPr>
  </w:style>
  <w:style w:type="paragraph" w:styleId="904" w:customStyle="1">
    <w:name w:val="s_1"/>
    <w:basedOn w:val="694"/>
    <w:pPr>
      <w:spacing w:before="100" w:beforeAutospacing="1" w:after="100" w:afterAutospacing="1"/>
    </w:pPr>
  </w:style>
  <w:style w:type="character" w:styleId="905" w:customStyle="1">
    <w:name w:val="fontstyle01"/>
    <w:basedOn w:val="704"/>
    <w:rPr>
      <w:rFonts w:hint="default"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hyperlink" Target="https://internet.garant.ru/document/redirect/27520188/0" TargetMode="External"/><Relationship Id="rId17" Type="http://schemas.openxmlformats.org/officeDocument/2006/relationships/hyperlink" Target="https://internet.garant.ru/document/redirect/27520188/0" TargetMode="External"/><Relationship Id="rId18" Type="http://schemas.openxmlformats.org/officeDocument/2006/relationships/hyperlink" Target="https://internet.garant.ru/document/redirect/27520188/0" TargetMode="External"/><Relationship Id="rId19" Type="http://schemas.openxmlformats.org/officeDocument/2006/relationships/hyperlink" Target="https://internet.garant.ru/document/redirect/27520188/0" TargetMode="External"/><Relationship Id="rId20" Type="http://schemas.openxmlformats.org/officeDocument/2006/relationships/hyperlink" Target="https://internet.garant.ru/document/redirect/5759555/0" TargetMode="External"/><Relationship Id="rId21" Type="http://schemas.openxmlformats.org/officeDocument/2006/relationships/hyperlink" Target="https://internet.garant.ru/document/redirect/27520188/0" TargetMode="External"/><Relationship Id="rId22" Type="http://schemas.openxmlformats.org/officeDocument/2006/relationships/hyperlink" Target="https://internet.garant.ru/document/redirect/27520188/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E46DF2-9D5C-4D16-8FC8-93566DCE6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tomina-ev</dc:creator>
  <cp:lastModifiedBy>ayub</cp:lastModifiedBy>
  <cp:revision>73</cp:revision>
  <dcterms:created xsi:type="dcterms:W3CDTF">2025-02-06T10:29:00Z</dcterms:created>
  <dcterms:modified xsi:type="dcterms:W3CDTF">2025-03-26T12:48:41Z</dcterms:modified>
</cp:coreProperties>
</file>