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92" w:rsidRPr="00F16FC3" w:rsidRDefault="00064C92" w:rsidP="00064C92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647D9" w:rsidRPr="006A24BA" w:rsidRDefault="003647D9" w:rsidP="006A24BA">
      <w:pPr>
        <w:widowControl/>
        <w:autoSpaceDE/>
        <w:autoSpaceDN/>
        <w:adjustRightInd/>
        <w:ind w:left="7080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 6 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к П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ротоколу заседания управляющего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государственной программы</w:t>
      </w:r>
    </w:p>
    <w:p w:rsidR="003647D9" w:rsidRPr="006A24BA" w:rsidRDefault="00E7022C" w:rsidP="006A24BA">
      <w:pPr>
        <w:widowControl/>
        <w:autoSpaceDE/>
        <w:autoSpaceDN/>
        <w:adjustRightInd/>
        <w:ind w:left="991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«Формирование комфортной городской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среды в Оренбургской области»</w:t>
      </w:r>
    </w:p>
    <w:p w:rsidR="003647D9" w:rsidRPr="006A24BA" w:rsidRDefault="003647D9" w:rsidP="006A24B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C92" w:rsidRPr="006A24BA" w:rsidRDefault="00064C92" w:rsidP="006A24B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A24BA">
        <w:rPr>
          <w:rFonts w:ascii="Times New Roman" w:hAnsi="Times New Roman"/>
          <w:sz w:val="28"/>
          <w:szCs w:val="28"/>
        </w:rPr>
        <w:t>Сведения о методике расчета показателей государственной программы</w:t>
      </w:r>
      <w:r w:rsidR="00E7022C" w:rsidRPr="006A24BA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 в Оренбургской области»</w:t>
      </w:r>
      <w:r w:rsidRPr="006A24BA">
        <w:rPr>
          <w:rFonts w:ascii="Times New Roman" w:hAnsi="Times New Roman"/>
          <w:sz w:val="28"/>
          <w:szCs w:val="28"/>
        </w:rPr>
        <w:t xml:space="preserve"> </w:t>
      </w:r>
      <w:r w:rsidR="00C37EAB" w:rsidRPr="006A24BA">
        <w:rPr>
          <w:rFonts w:ascii="Times New Roman" w:hAnsi="Times New Roman"/>
          <w:sz w:val="28"/>
          <w:szCs w:val="28"/>
        </w:rPr>
        <w:t>и результатов структурных элементов</w:t>
      </w:r>
    </w:p>
    <w:tbl>
      <w:tblPr>
        <w:tblW w:w="1571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979"/>
        <w:gridCol w:w="1134"/>
        <w:gridCol w:w="1417"/>
        <w:gridCol w:w="2835"/>
        <w:gridCol w:w="1701"/>
        <w:gridCol w:w="1701"/>
        <w:gridCol w:w="1559"/>
        <w:gridCol w:w="1276"/>
        <w:gridCol w:w="1418"/>
      </w:tblGrid>
      <w:tr w:rsidR="005A7CA8" w:rsidRPr="006A24BA" w:rsidTr="007D1C6E">
        <w:tc>
          <w:tcPr>
            <w:tcW w:w="690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197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Наименование показателя (результат</w:t>
            </w:r>
            <w:r w:rsidR="00C37E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Уровень показателя/источник результата</w:t>
            </w:r>
          </w:p>
        </w:tc>
        <w:tc>
          <w:tcPr>
            <w:tcW w:w="1417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Единица измерения</w:t>
            </w:r>
            <w:r w:rsidR="00C37E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показателя (результата)</w:t>
            </w:r>
          </w:p>
        </w:tc>
        <w:tc>
          <w:tcPr>
            <w:tcW w:w="2835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Алгоритм формирования (формула) и методологические пояснения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Метод сбора информации, индекс формы отчетности</w:t>
            </w:r>
            <w:hyperlink r:id="rId7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276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Источник данных</w:t>
            </w:r>
          </w:p>
        </w:tc>
        <w:tc>
          <w:tcPr>
            <w:tcW w:w="1418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Срок представления годовой отчетной информации</w:t>
            </w:r>
          </w:p>
        </w:tc>
      </w:tr>
      <w:tr w:rsidR="005A7CA8" w:rsidRPr="006A24BA" w:rsidTr="007D1C6E">
        <w:tc>
          <w:tcPr>
            <w:tcW w:w="690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</w:tr>
      <w:tr w:rsidR="002B0366" w:rsidRPr="006A24BA" w:rsidTr="007D1C6E">
        <w:tc>
          <w:tcPr>
            <w:tcW w:w="690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2B0366" w:rsidRPr="00BC7D7D" w:rsidRDefault="002B0366" w:rsidP="0051371B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городов с благоприятной средой от общего количества городов (индекс качества городской среды - выше 50</w:t>
            </w:r>
            <w:r w:rsidR="00A15C19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%)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бг = (Кбг/Кг) х 100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достигнутым, в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 - количество городов с благоприятной городской средой в отчетном году, единиц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2B0366" w:rsidRPr="004B037B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листы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DB150C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5 апреля года, следующего за отчетным годом</w:t>
            </w:r>
          </w:p>
        </w:tc>
      </w:tr>
      <w:tr w:rsidR="002B0366" w:rsidRPr="006A24BA" w:rsidTr="007D1C6E">
        <w:tc>
          <w:tcPr>
            <w:tcW w:w="690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2B0366" w:rsidRPr="00BC7D7D" w:rsidRDefault="002B0366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Кг – общее число городов, для которых рассчитан индекс качества городской среды, единиц</w:t>
            </w: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2B0366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листы оценки субъектов Российской Федерации, ежегодно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2B0366" w:rsidRPr="006A24BA" w:rsidRDefault="00490D5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DB150C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5 апреля года, следующего за отчетным годом</w:t>
            </w:r>
          </w:p>
        </w:tc>
      </w:tr>
      <w:tr w:rsidR="00992E37" w:rsidRPr="006A24BA" w:rsidTr="007D1C6E">
        <w:tc>
          <w:tcPr>
            <w:tcW w:w="690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2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992E37" w:rsidRPr="00BC7D7D" w:rsidRDefault="00992E3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41EB8845" wp14:editId="03D7A619">
                  <wp:extent cx="981075" cy="2571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6A24B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992E3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992E3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992E37" w:rsidRPr="006A24BA" w:rsidTr="007D1C6E">
        <w:tc>
          <w:tcPr>
            <w:tcW w:w="690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992E37" w:rsidRPr="00BC7D7D" w:rsidRDefault="00992E3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992E3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992E3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C14069" w:rsidRPr="006A24BA" w:rsidTr="007D1C6E">
        <w:tc>
          <w:tcPr>
            <w:tcW w:w="690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1979" w:type="dxa"/>
            <w:shd w:val="clear" w:color="auto" w:fill="FFFFFF"/>
          </w:tcPr>
          <w:p w:rsidR="00C14069" w:rsidRPr="00BC7D7D" w:rsidRDefault="00C14069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Количество городов с благоприятной 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городской средой</w:t>
            </w:r>
          </w:p>
        </w:tc>
        <w:tc>
          <w:tcPr>
            <w:tcW w:w="1134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</w:t>
            </w:r>
          </w:p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городов, индекс качества городской среды которых выше 50 процентов от максимального значения, которое может набрать город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года N 510-р (максимальное значение 360 баллов)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Кбг –</w:t>
            </w:r>
            <w:r w:rsidRPr="006A24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количество городов с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благоприятной городской средой в отчетном году</w:t>
            </w:r>
          </w:p>
        </w:tc>
        <w:tc>
          <w:tcPr>
            <w:tcW w:w="1701" w:type="dxa"/>
            <w:shd w:val="clear" w:color="auto" w:fill="FFFFFF"/>
          </w:tcPr>
          <w:p w:rsidR="00C14069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7 (административн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C14069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министерство строительства, </w:t>
            </w:r>
            <w:r w:rsidRPr="004B03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C14069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форма федеральног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C14069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ой</w:t>
            </w:r>
            <w:r w:rsidR="00C14069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5 </w:t>
            </w:r>
            <w:r w:rsidR="00345DC3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апреля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года, следующего за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отчетным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годом</w:t>
            </w:r>
          </w:p>
        </w:tc>
      </w:tr>
      <w:tr w:rsidR="00A04EAA" w:rsidRPr="006A24BA" w:rsidTr="007D1C6E">
        <w:tc>
          <w:tcPr>
            <w:tcW w:w="690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4</w:t>
            </w:r>
          </w:p>
        </w:tc>
        <w:tc>
          <w:tcPr>
            <w:tcW w:w="1979" w:type="dxa"/>
            <w:shd w:val="clear" w:color="auto" w:fill="FFFFFF"/>
          </w:tcPr>
          <w:p w:rsidR="00A04EAA" w:rsidRPr="00BC7D7D" w:rsidRDefault="00A04EAA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Индекс качества городской среды</w:t>
            </w:r>
          </w:p>
        </w:tc>
        <w:tc>
          <w:tcPr>
            <w:tcW w:w="1134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балл</w:t>
            </w:r>
          </w:p>
        </w:tc>
        <w:tc>
          <w:tcPr>
            <w:tcW w:w="2835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расчетным путем в соответствии с </w:t>
            </w:r>
            <w:hyperlink r:id="rId9">
              <w:r w:rsidRPr="006A24BA">
                <w:rPr>
                  <w:rStyle w:val="a7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Методикой</w:t>
              </w:r>
            </w:hyperlink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формирования индекса качества городской среды, утвержденной распоряжением Правительства Российской Федерации от 23 марта 2019 года N 510-р. Расчет осуществляет Министерство строительства и жилищно-коммунального хозяйства Российской Федерации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–индекс качества городской среды по Оренбургской области за отчетный год</w:t>
            </w:r>
          </w:p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A04EAA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04EAA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04EAA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ой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5 </w:t>
            </w:r>
            <w:r w:rsidR="00345DC3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апреля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года, следующего за отчетным годом</w:t>
            </w:r>
          </w:p>
        </w:tc>
      </w:tr>
      <w:tr w:rsidR="00AF2EEC" w:rsidRPr="006A24BA" w:rsidTr="007D1C6E">
        <w:tc>
          <w:tcPr>
            <w:tcW w:w="690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AF2EEC" w:rsidRPr="00BC7D7D" w:rsidRDefault="00AF2EEC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9C7464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рп=(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рп/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 х 100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закупаемого оборудования, имеющего российское происхождение, в том числе оборудования, закупаемого при выполнении работ, в отчетном периоде к общему объему оборудования, закупаемого в рамках реа-лизации мероприятий госу-дарственных (муниципаль-ных программ) современной городской среды в отчетный период. Состав оборудова-ния, используемый для расчета показателя, определяется на основании перечня отдельных видов промышленных товаров, происходящих из ино-странных государств (за исключением государств - членов Евразийского эконо-мического союза), в отно-шении которых устанавли-ваются ограничения допуска для целей осуществления закупок для обеспечения государственных и муници-пальных нужд, утвержден-ного постановлением Прави-тельства Российской Федера-ции от 30 апреля 2020 г. N 617 "Об ограничениях допуска отдельных видов промы-шленных товаров, происхо-дящих из иностранных государств, для целей осуществления закупок для обеспечения государствен-ных и муниципальных нужд", согласно коду в соответствии с Общероссийским классифи-катором продукции по видам экономической деятельности ОК 034-2014 (КПЕС 2008):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площадки спортивные для спортивных игр на открытом воздухе (42.99.12.110).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Также учитывается оборудо-вание для занятий спортом или для игр на открытом воздухе, в том числе оборудование, закупаемое при выполнении работ в рамках реализации меропри-ятий государственных (муни-ципальных) программ совре-менной городской среды, согласно иным кодам Общероссийским классифи-катором продукции по видам экономической деятельности ОК 034-2014 (КПЕС 2008) и кодам единой Товарной номенклатуры внешнеэко-номической деятельности Евразийского экономичес-кого союза и Единого таможенного тарифа Евра-зийского экономического союза (ТН ВЭД).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 – объем закупленного оборудования, имеющего российское происхождение, в том числе оборудования, закупаемого при выполнении работ в рамках реализации мероприятий государственных (муниципальных программ) современной городской среды в отчетный период, млн. рублей.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F2EEC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  <w:r w:rsidR="00833ED6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20 января года, следующего за отчетным годом</w:t>
            </w:r>
          </w:p>
        </w:tc>
      </w:tr>
      <w:tr w:rsidR="00AF2EEC" w:rsidRPr="006A24BA" w:rsidTr="007D1C6E">
        <w:tc>
          <w:tcPr>
            <w:tcW w:w="690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AF2EEC" w:rsidRPr="00BC7D7D" w:rsidRDefault="00AF2EEC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общий объем закупленного оборудования, в том числе оборудования, закупаемого в рамках реализации мероприятий государственных (муниципальных программ) современной городской среды в отчетный период, млн. рублей.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F2EEC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F2EEC" w:rsidRPr="006A24BA" w:rsidRDefault="00833ED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D161AB" w:rsidRPr="006A24BA" w:rsidTr="007D1C6E">
        <w:tc>
          <w:tcPr>
            <w:tcW w:w="690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D161AB" w:rsidRPr="00BC7D7D" w:rsidRDefault="00D161AB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Прирост среднего индекса качества городской среды по отношению к 2019 году</w:t>
            </w:r>
            <w:r w:rsidR="00EA5DDA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Пр=((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/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2019)-1) х 100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значения индекса качества городской среды Оренбургской области за отчетный период к значению индекса качества городской среды Оренбургской области за 2019 год (округляется до целого значения)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</w:t>
            </w:r>
          </w:p>
        </w:tc>
        <w:tc>
          <w:tcPr>
            <w:tcW w:w="1701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индекс качества городской среды по Оренбургской области за отчетный год, балл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A4188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D161AB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D161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D161AB" w:rsidRPr="006A24BA" w:rsidTr="007D1C6E">
        <w:tc>
          <w:tcPr>
            <w:tcW w:w="690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D161AB" w:rsidRPr="00BC7D7D" w:rsidRDefault="00D161AB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2019 –индекс качества городской среды по Оренбургской области за 2019 год, балл</w:t>
            </w:r>
          </w:p>
        </w:tc>
        <w:tc>
          <w:tcPr>
            <w:tcW w:w="1701" w:type="dxa"/>
            <w:shd w:val="clear" w:color="auto" w:fill="FFFFFF"/>
          </w:tcPr>
          <w:p w:rsidR="003A4188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D161AB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D161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1E4947" w:rsidRPr="006A24BA" w:rsidTr="00D46178">
        <w:trPr>
          <w:trHeight w:val="5313"/>
        </w:trPr>
        <w:tc>
          <w:tcPr>
            <w:tcW w:w="690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  <w:vMerge w:val="restart"/>
            <w:shd w:val="clear" w:color="auto" w:fill="FFFFFF"/>
            <w:hideMark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6446539D" wp14:editId="79029296">
                  <wp:extent cx="981075" cy="2571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  <w:hideMark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  <w:hideMark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 </w:t>
            </w:r>
          </w:p>
        </w:tc>
      </w:tr>
      <w:tr w:rsidR="001E4947" w:rsidRPr="006A24BA" w:rsidTr="00D46178">
        <w:trPr>
          <w:trHeight w:val="5313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1E4947" w:rsidRPr="00BC7D7D" w:rsidRDefault="001E4947" w:rsidP="002B0366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802026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4473C433" wp14:editId="283AC420">
                  <wp:extent cx="876300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поселениях</w:t>
            </w:r>
            <w:r w:rsidR="00447C51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E5067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1349" w:rsidRPr="001C4506">
              <w:rPr>
                <w:rFonts w:ascii="Times New Roman" w:hAnsi="Times New Roman" w:cs="Times New Roman"/>
                <w:sz w:val="22"/>
                <w:szCs w:val="22"/>
              </w:rPr>
              <w:t>привлечением</w:t>
            </w:r>
            <w:r w:rsidR="00E5067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из областного бюджета,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нарастающим итогом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.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7182D32B" wp14:editId="42EC06C4">
                  <wp:extent cx="266700" cy="20891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38BFFAE7" wp14:editId="38095140">
                  <wp:extent cx="876300" cy="4286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нарастающим итогом.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587EDC37" wp14:editId="15D30D43">
                  <wp:extent cx="266700" cy="20891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c>
          <w:tcPr>
            <w:tcW w:w="690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10</w:t>
            </w:r>
          </w:p>
        </w:tc>
        <w:tc>
          <w:tcPr>
            <w:tcW w:w="1979" w:type="dxa"/>
            <w:vMerge w:val="restart"/>
            <w:shd w:val="clear" w:color="auto" w:fill="FFFFFF"/>
            <w:hideMark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  <w:r w:rsidR="00967513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гр= (Кгру/Кгр) х100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количества граждан в возрасте от 14 лет,  принявших участие в решении вопросов развития городской среды посредством участия в голосовании по выбору территорий, подлежащих благоустройству, и прочих мероприятиях по выявлению общественного мнения, к количеству граждан в возрасте от 14 лет, проживающих в муниципальных образованиях, участвующих в реализации муниципальных программ формирования комфортной городской среды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color w:val="22272F"/>
                <w:sz w:val="22"/>
              </w:rPr>
            </w:pPr>
            <w:r w:rsidRPr="006A24BA">
              <w:rPr>
                <w:rFonts w:ascii="Times New Roman" w:eastAsia="Times New Roman" w:hAnsi="Times New Roman" w:cs="Times New Roman"/>
                <w:color w:val="22272F"/>
                <w:sz w:val="22"/>
              </w:rPr>
              <w:t>Кгрy - количество граждан в возрасте 14 лет и старше, принимающих участие в решении вопросов развития городской среды, тыс. чел. (в среднегодовом выражении);</w:t>
            </w:r>
          </w:p>
          <w:p w:rsidR="001E4947" w:rsidRPr="006A24BA" w:rsidRDefault="001E4947" w:rsidP="006A24B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b/>
                <w:color w:val="22272F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E4947" w:rsidRPr="006A24BA" w:rsidTr="00C27C3F"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Кгр - количество граждан в возрасте 14 лет и старше, проживающих в муниципальных образованиях, на территории которых реализуются муниципальные программы формирования современной городской среды, тыс. чел. согласно официальным данным Росстата (в среднегодовом выражении)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1612B1">
        <w:tc>
          <w:tcPr>
            <w:tcW w:w="15710" w:type="dxa"/>
            <w:gridSpan w:val="10"/>
          </w:tcPr>
          <w:p w:rsidR="00B313F5" w:rsidRPr="00BC7D7D" w:rsidRDefault="00B313F5" w:rsidP="006A2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3D2220" w:rsidRPr="006A24BA" w:rsidTr="0057430D">
        <w:tc>
          <w:tcPr>
            <w:tcW w:w="690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1979" w:type="dxa"/>
            <w:vMerge w:val="restart"/>
          </w:tcPr>
          <w:p w:rsidR="003D2220" w:rsidRPr="00BC7D7D" w:rsidRDefault="003D2220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Style w:val="2"/>
                <w:rFonts w:eastAsiaTheme="minorHAnsi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среды. Нарастающий итог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РП, ФС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4C7408A0" wp14:editId="1A7BC050">
                  <wp:extent cx="981075" cy="2571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220" w:rsidRPr="006A24BA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3D2220" w:rsidRPr="006A24BA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3D2220" w:rsidRPr="006A24BA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3D2220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3D2220" w:rsidRPr="006A24BA" w:rsidTr="0057430D">
        <w:tc>
          <w:tcPr>
            <w:tcW w:w="690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3D2220" w:rsidRPr="00BC7D7D" w:rsidRDefault="003D2220" w:rsidP="006A24BA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3D2220" w:rsidRPr="006A24BA" w:rsidTr="006A45CD">
        <w:tc>
          <w:tcPr>
            <w:tcW w:w="690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12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3D2220" w:rsidRPr="00BC7D7D" w:rsidRDefault="003D2220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</w:t>
            </w:r>
            <w:r w:rsidRPr="00BC7D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поселениях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10"/>
              </w:rPr>
            </w:pPr>
            <w:r w:rsidRPr="001C4506">
              <w:rPr>
                <w:noProof/>
                <w:position w:val="-23"/>
              </w:rPr>
              <w:drawing>
                <wp:inline distT="0" distB="0" distL="0" distR="0" wp14:anchorId="34DFD584" wp14:editId="0A0EFC94">
                  <wp:extent cx="876300" cy="4286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</w:t>
            </w:r>
            <w:r w:rsidR="009D134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 привлечением субсидии из областного бюджета, 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нарастающим итогом.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D2220" w:rsidRPr="001C4506" w:rsidRDefault="003D2220" w:rsidP="006A24BA">
            <w:pPr>
              <w:ind w:firstLine="0"/>
              <w:rPr>
                <w:noProof/>
                <w:position w:val="-10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noProof/>
                <w:position w:val="-6"/>
              </w:rPr>
              <w:drawing>
                <wp:inline distT="0" distB="0" distL="0" distR="0" wp14:anchorId="7BFC6226" wp14:editId="1C4E4857">
                  <wp:extent cx="266700" cy="20891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3D2220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3D2220" w:rsidRPr="006A24BA" w:rsidTr="006A45CD">
        <w:tc>
          <w:tcPr>
            <w:tcW w:w="690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D2220" w:rsidRPr="00BC7D7D" w:rsidRDefault="003D2220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4153D" w:rsidRPr="006A24BA" w:rsidTr="00C871F7">
        <w:tc>
          <w:tcPr>
            <w:tcW w:w="690" w:type="dxa"/>
            <w:vMerge w:val="restart"/>
            <w:shd w:val="clear" w:color="auto" w:fill="FFFFFF"/>
          </w:tcPr>
          <w:p w:rsidR="00E4153D" w:rsidRPr="006A24BA" w:rsidRDefault="00A071B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E4153D" w:rsidRPr="00BC7D7D" w:rsidRDefault="00E4153D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РП, ФС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59CEC93B" wp14:editId="6D0AB30C">
                  <wp:extent cx="876300" cy="4286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нарастающим итогом.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4153D" w:rsidRPr="006A24BA" w:rsidRDefault="00E4153D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4E83D2A9" wp14:editId="32358E9D">
                  <wp:extent cx="266700" cy="20891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4153D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E4153D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4153D" w:rsidRPr="006A24BA" w:rsidRDefault="00E4153D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4153D" w:rsidRPr="006A24BA" w:rsidTr="00C871F7">
        <w:tc>
          <w:tcPr>
            <w:tcW w:w="690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E4153D" w:rsidRPr="00BC7D7D" w:rsidRDefault="00E4153D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4153D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57430D">
        <w:tc>
          <w:tcPr>
            <w:tcW w:w="690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A071BF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</w:pPr>
            <w:r w:rsidRPr="00BC7D7D">
              <w:rPr>
                <w:rStyle w:val="2"/>
                <w:rFonts w:eastAsiaTheme="minorHAnsi"/>
              </w:rPr>
              <w:t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3F376C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</w:t>
            </w:r>
            <w:r w:rsidR="004000C6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 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принятием нормативно-правового акта об утверждении адресного перечня территорий, подлежащих благоустройству в следующем году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color w:val="22272F"/>
                <w:sz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нормативно-правовой акт об утверждении адресного перечня территорий, подлежащих благоустройству в следующем году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 ноября текущего года</w:t>
            </w:r>
          </w:p>
        </w:tc>
      </w:tr>
      <w:tr w:rsidR="00B313F5" w:rsidRPr="006A24BA" w:rsidTr="00BD23D3">
        <w:tc>
          <w:tcPr>
            <w:tcW w:w="1571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B313F5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F4673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муниципальных образований, для которых разработаны дизайн-проекты благоустройства объектов городской среды</w:t>
            </w:r>
          </w:p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муниципальных образований, для которых разработаны дизайн-проекты благоустройства объектов городской среды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F4673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улиц муниципальных образований, для которых разработаны дизайн-проекты благоустройства территорий улиц "Моя улица"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улиц муниципальных образований, для которых разработаны дизайн-проекты благоустройства территорий улиц «Моя улица»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улиц муниципальных образований, для которых разработаны дизайн-проекты благоустройства территорий улиц «Моя улица»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4B037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F4673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организованных и проведенных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проектных семинаров в онлайн- и офлайн-форматах, голосований, опросов граждан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проектных семинаров в онлайн- и офлайн-форматах, голосований, опросов граждан 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8B7C4E" w:rsidRPr="006A24BA" w:rsidTr="00F67EA3">
        <w:tc>
          <w:tcPr>
            <w:tcW w:w="15710" w:type="dxa"/>
            <w:gridSpan w:val="10"/>
            <w:shd w:val="clear" w:color="auto" w:fill="FFFFFF"/>
          </w:tcPr>
          <w:p w:rsidR="008B7C4E" w:rsidRPr="00BC7D7D" w:rsidRDefault="008B7C4E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E4153D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территорий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»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5523D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Style w:val="2"/>
                <w:rFonts w:eastAsiaTheme="minorHAnsi"/>
              </w:rPr>
              <w:t>К</w:t>
            </w:r>
            <w:r w:rsidRPr="00E975BC">
              <w:rPr>
                <w:rFonts w:ascii="Times New Roman" w:hAnsi="Times New Roman"/>
              </w:rPr>
              <w:t xml:space="preserve">апитальный ремонт </w:t>
            </w:r>
            <w:r>
              <w:rPr>
                <w:rFonts w:ascii="Times New Roman" w:hAnsi="Times New Roman"/>
              </w:rPr>
              <w:t xml:space="preserve">крыш и </w:t>
            </w:r>
            <w:r w:rsidRPr="00E975BC">
              <w:rPr>
                <w:rFonts w:ascii="Times New Roman" w:hAnsi="Times New Roman"/>
              </w:rPr>
              <w:t>фасадов много</w:t>
            </w:r>
            <w:r>
              <w:rPr>
                <w:rFonts w:ascii="Times New Roman" w:hAnsi="Times New Roman"/>
              </w:rPr>
              <w:t>-</w:t>
            </w:r>
            <w:r w:rsidRPr="00E975BC">
              <w:rPr>
                <w:rFonts w:ascii="Times New Roman" w:hAnsi="Times New Roman"/>
              </w:rPr>
              <w:t>квартирных домов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капитально отремонтированных</w:t>
            </w:r>
            <w:r w:rsidR="005523D5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крыш и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фасадов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капитально отремонтированных</w:t>
            </w:r>
            <w:r w:rsidR="005523D5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крыш и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фасадов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B313F5" w:rsidRPr="006A24BA" w:rsidTr="00941DEC">
        <w:tc>
          <w:tcPr>
            <w:tcW w:w="690" w:type="dxa"/>
            <w:shd w:val="clear" w:color="auto" w:fill="FFFFFF"/>
          </w:tcPr>
          <w:p w:rsidR="00B313F5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29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Благоустройство дворовых и общественных территорий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благоустроенных дворовых и общественных пространств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дворовых и общественных пространств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B313F5" w:rsidRPr="006A24BA" w:rsidTr="00941DEC">
        <w:tc>
          <w:tcPr>
            <w:tcW w:w="690" w:type="dxa"/>
            <w:shd w:val="clear" w:color="auto" w:fill="FFFFFF"/>
          </w:tcPr>
          <w:p w:rsidR="00B313F5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Приобретение специал</w:t>
            </w:r>
            <w:r w:rsidR="00E4153D" w:rsidRPr="00BC7D7D">
              <w:rPr>
                <w:rFonts w:ascii="Times New Roman" w:hAnsi="Times New Roman"/>
              </w:rPr>
              <w:t>ьной</w:t>
            </w:r>
            <w:r w:rsidRPr="00BC7D7D">
              <w:rPr>
                <w:rFonts w:ascii="Times New Roman" w:hAnsi="Times New Roman"/>
              </w:rPr>
              <w:t xml:space="preserve"> коммунальной техники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приобретенной специализ</w:t>
            </w:r>
            <w:r w:rsidR="00771DCF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ированной коммунальной техники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приобретенной специализированной коммунальной техники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771DCF" w:rsidRPr="006A24BA" w:rsidTr="00941DEC">
        <w:tc>
          <w:tcPr>
            <w:tcW w:w="690" w:type="dxa"/>
            <w:shd w:val="clear" w:color="auto" w:fill="FFFFFF"/>
          </w:tcPr>
          <w:p w:rsidR="00771DCF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21</w:t>
            </w:r>
          </w:p>
        </w:tc>
        <w:tc>
          <w:tcPr>
            <w:tcW w:w="1979" w:type="dxa"/>
          </w:tcPr>
          <w:p w:rsidR="00771DCF" w:rsidRPr="00BC7D7D" w:rsidRDefault="00771DCF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Приобретение транспорта</w:t>
            </w:r>
          </w:p>
        </w:tc>
        <w:tc>
          <w:tcPr>
            <w:tcW w:w="1134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приобретенного транспорта</w:t>
            </w:r>
          </w:p>
        </w:tc>
        <w:tc>
          <w:tcPr>
            <w:tcW w:w="1701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приобретенного транспорта</w:t>
            </w:r>
          </w:p>
        </w:tc>
        <w:tc>
          <w:tcPr>
            <w:tcW w:w="1701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771DCF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771DCF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5E7582" w:rsidRPr="006A24BA" w:rsidTr="00A66BB2">
        <w:tc>
          <w:tcPr>
            <w:tcW w:w="15710" w:type="dxa"/>
            <w:gridSpan w:val="10"/>
            <w:shd w:val="clear" w:color="auto" w:fill="FFFFFF"/>
          </w:tcPr>
          <w:p w:rsidR="005E7582" w:rsidRPr="006A24BA" w:rsidRDefault="005E7582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5E7582" w:rsidRPr="006A24BA" w:rsidTr="00941DEC">
        <w:tc>
          <w:tcPr>
            <w:tcW w:w="690" w:type="dxa"/>
            <w:shd w:val="clear" w:color="auto" w:fill="FFFFFF"/>
          </w:tcPr>
          <w:p w:rsid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22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E7582">
              <w:rPr>
                <w:rFonts w:ascii="Times New Roman" w:hAnsi="Times New Roman"/>
                <w:sz w:val="22"/>
                <w:szCs w:val="22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созданных рабочих мест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созданных рабочих мест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5E7582" w:rsidRPr="006A24BA" w:rsidTr="00941DEC">
        <w:tc>
          <w:tcPr>
            <w:tcW w:w="690" w:type="dxa"/>
            <w:shd w:val="clear" w:color="auto" w:fill="FFFFFF"/>
          </w:tcPr>
          <w:p w:rsid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23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E7582">
              <w:rPr>
                <w:rFonts w:ascii="Times New Roman" w:hAnsi="Times New Roman"/>
                <w:sz w:val="22"/>
                <w:szCs w:val="22"/>
              </w:rPr>
              <w:t>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млн. рублей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объемом поступивших налоговых и неналоговых доходов 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объем поступивших налоговых и неналоговых доходов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5E7582" w:rsidRPr="006A24BA" w:rsidTr="00941DEC">
        <w:tc>
          <w:tcPr>
            <w:tcW w:w="690" w:type="dxa"/>
            <w:shd w:val="clear" w:color="auto" w:fill="FFFFFF"/>
          </w:tcPr>
          <w:p w:rsid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24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5E7582">
              <w:rPr>
                <w:rFonts w:ascii="Times New Roman" w:hAnsi="Times New Roman"/>
                <w:sz w:val="22"/>
                <w:szCs w:val="22"/>
              </w:rPr>
              <w:t>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млн. рублей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объемом средств внебюджетных источников финансирования инфраструктурного проекта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объем средств  внебюджетных источников финансирования инфраструктурного проекта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F4673A" w:rsidRPr="006A24BA" w:rsidTr="000A3026">
        <w:tc>
          <w:tcPr>
            <w:tcW w:w="15710" w:type="dxa"/>
            <w:gridSpan w:val="10"/>
            <w:shd w:val="clear" w:color="auto" w:fill="FFFFFF"/>
          </w:tcPr>
          <w:p w:rsidR="00F4673A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F4673A" w:rsidRPr="006A24BA" w:rsidTr="00941DEC">
        <w:tc>
          <w:tcPr>
            <w:tcW w:w="690" w:type="dxa"/>
            <w:shd w:val="clear" w:color="auto" w:fill="FFFFFF"/>
          </w:tcPr>
          <w:p w:rsidR="00F4673A" w:rsidRPr="006A24BA" w:rsidRDefault="00F4673A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</w:tcPr>
          <w:p w:rsidR="00F4673A" w:rsidRPr="00BC7D7D" w:rsidRDefault="00F4673A" w:rsidP="00F4673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муниципальных образований</w:t>
            </w:r>
          </w:p>
        </w:tc>
        <w:tc>
          <w:tcPr>
            <w:tcW w:w="1134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благоустроенных общественных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 общественных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</w:t>
            </w:r>
          </w:p>
        </w:tc>
      </w:tr>
      <w:tr w:rsidR="00F4673A" w:rsidRPr="006A24BA" w:rsidTr="00941DEC">
        <w:tc>
          <w:tcPr>
            <w:tcW w:w="690" w:type="dxa"/>
            <w:shd w:val="clear" w:color="auto" w:fill="FFFFFF"/>
          </w:tcPr>
          <w:p w:rsidR="00F4673A" w:rsidRDefault="00F4673A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</w:tcPr>
          <w:p w:rsidR="00F4673A" w:rsidRDefault="00F4673A" w:rsidP="00F4673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87BD5">
              <w:rPr>
                <w:rFonts w:ascii="Times New Roman" w:hAnsi="Times New Roman" w:cs="Times New Roman"/>
              </w:rPr>
              <w:t>еализованы мероприятия по благоустройству дворовых территорий многоквартирных домов</w:t>
            </w:r>
          </w:p>
        </w:tc>
        <w:tc>
          <w:tcPr>
            <w:tcW w:w="1134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благоустроенных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дворовых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дворовых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</w:t>
            </w:r>
          </w:p>
        </w:tc>
      </w:tr>
    </w:tbl>
    <w:p w:rsidR="00064C92" w:rsidRPr="002F4299" w:rsidRDefault="00064C92" w:rsidP="006A24BA">
      <w:pPr>
        <w:spacing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064C92" w:rsidRPr="002F4299" w:rsidSect="00D161AB">
          <w:pgSz w:w="16838" w:h="11906" w:orient="landscape"/>
          <w:pgMar w:top="571" w:right="536" w:bottom="993" w:left="566" w:header="720" w:footer="720" w:gutter="0"/>
          <w:cols w:space="720"/>
          <w:titlePg/>
        </w:sectPr>
      </w:pPr>
      <w:bookmarkStart w:id="0" w:name="_GoBack"/>
      <w:bookmarkEnd w:id="0"/>
    </w:p>
    <w:p w:rsidR="00D1085B" w:rsidRPr="002F4299" w:rsidRDefault="00D1085B" w:rsidP="006A24BA">
      <w:pPr>
        <w:rPr>
          <w:rFonts w:ascii="Times New Roman" w:hAnsi="Times New Roman" w:cs="Times New Roman"/>
          <w:sz w:val="22"/>
          <w:szCs w:val="22"/>
        </w:rPr>
      </w:pPr>
    </w:p>
    <w:sectPr w:rsidR="00D1085B" w:rsidRPr="002F4299" w:rsidSect="00064C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9F" w:rsidRDefault="00DC499F" w:rsidP="00064C92">
      <w:r>
        <w:separator/>
      </w:r>
    </w:p>
  </w:endnote>
  <w:endnote w:type="continuationSeparator" w:id="0">
    <w:p w:rsidR="00DC499F" w:rsidRDefault="00DC499F" w:rsidP="0006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9F" w:rsidRDefault="00DC499F" w:rsidP="00064C92">
      <w:r>
        <w:separator/>
      </w:r>
    </w:p>
  </w:footnote>
  <w:footnote w:type="continuationSeparator" w:id="0">
    <w:p w:rsidR="00DC499F" w:rsidRDefault="00DC499F" w:rsidP="0006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92"/>
    <w:rsid w:val="00011554"/>
    <w:rsid w:val="00064C92"/>
    <w:rsid w:val="000F72C6"/>
    <w:rsid w:val="00106D29"/>
    <w:rsid w:val="001347E7"/>
    <w:rsid w:val="00160CD6"/>
    <w:rsid w:val="001A0D3C"/>
    <w:rsid w:val="001A6178"/>
    <w:rsid w:val="001C4506"/>
    <w:rsid w:val="001E4947"/>
    <w:rsid w:val="001E7840"/>
    <w:rsid w:val="001F586D"/>
    <w:rsid w:val="002213B5"/>
    <w:rsid w:val="002372A4"/>
    <w:rsid w:val="002A756F"/>
    <w:rsid w:val="002B0366"/>
    <w:rsid w:val="002B73B0"/>
    <w:rsid w:val="002D73B8"/>
    <w:rsid w:val="002F4299"/>
    <w:rsid w:val="00305F25"/>
    <w:rsid w:val="003061C3"/>
    <w:rsid w:val="003373E0"/>
    <w:rsid w:val="00345DC3"/>
    <w:rsid w:val="003647D9"/>
    <w:rsid w:val="00365423"/>
    <w:rsid w:val="003A3BDF"/>
    <w:rsid w:val="003A4188"/>
    <w:rsid w:val="003D2220"/>
    <w:rsid w:val="003E173C"/>
    <w:rsid w:val="003E7906"/>
    <w:rsid w:val="003F376C"/>
    <w:rsid w:val="003F7DA3"/>
    <w:rsid w:val="004000C6"/>
    <w:rsid w:val="00427374"/>
    <w:rsid w:val="00440206"/>
    <w:rsid w:val="004449B9"/>
    <w:rsid w:val="00447C51"/>
    <w:rsid w:val="00447D0C"/>
    <w:rsid w:val="00490D50"/>
    <w:rsid w:val="004A0687"/>
    <w:rsid w:val="004B037B"/>
    <w:rsid w:val="004E004F"/>
    <w:rsid w:val="0051371B"/>
    <w:rsid w:val="005177C7"/>
    <w:rsid w:val="005250F7"/>
    <w:rsid w:val="005523D5"/>
    <w:rsid w:val="005945E5"/>
    <w:rsid w:val="005A4110"/>
    <w:rsid w:val="005A7CA8"/>
    <w:rsid w:val="005E7582"/>
    <w:rsid w:val="00630363"/>
    <w:rsid w:val="00682E8A"/>
    <w:rsid w:val="006A24BA"/>
    <w:rsid w:val="006C7F66"/>
    <w:rsid w:val="006D3A6F"/>
    <w:rsid w:val="006E035F"/>
    <w:rsid w:val="006E329D"/>
    <w:rsid w:val="00715AD3"/>
    <w:rsid w:val="00731E14"/>
    <w:rsid w:val="00771DCF"/>
    <w:rsid w:val="0077680F"/>
    <w:rsid w:val="007B52AA"/>
    <w:rsid w:val="007B7F78"/>
    <w:rsid w:val="007D1C6E"/>
    <w:rsid w:val="007E0016"/>
    <w:rsid w:val="00802026"/>
    <w:rsid w:val="00833ED6"/>
    <w:rsid w:val="0083706B"/>
    <w:rsid w:val="00896873"/>
    <w:rsid w:val="008B7C4E"/>
    <w:rsid w:val="0090125C"/>
    <w:rsid w:val="00943832"/>
    <w:rsid w:val="009501C1"/>
    <w:rsid w:val="00967513"/>
    <w:rsid w:val="00992E37"/>
    <w:rsid w:val="009B7CFE"/>
    <w:rsid w:val="009C7464"/>
    <w:rsid w:val="009D1349"/>
    <w:rsid w:val="00A04EAA"/>
    <w:rsid w:val="00A071BF"/>
    <w:rsid w:val="00A15C19"/>
    <w:rsid w:val="00A74F5D"/>
    <w:rsid w:val="00AB78E1"/>
    <w:rsid w:val="00AD4925"/>
    <w:rsid w:val="00AD598F"/>
    <w:rsid w:val="00AF2EEC"/>
    <w:rsid w:val="00B116C1"/>
    <w:rsid w:val="00B11DB4"/>
    <w:rsid w:val="00B313F5"/>
    <w:rsid w:val="00B96C72"/>
    <w:rsid w:val="00BA4B1F"/>
    <w:rsid w:val="00BC7D7D"/>
    <w:rsid w:val="00BD2C94"/>
    <w:rsid w:val="00C14069"/>
    <w:rsid w:val="00C27C3F"/>
    <w:rsid w:val="00C37EAB"/>
    <w:rsid w:val="00C53B90"/>
    <w:rsid w:val="00CC1F94"/>
    <w:rsid w:val="00CC213C"/>
    <w:rsid w:val="00CE2C83"/>
    <w:rsid w:val="00CE4282"/>
    <w:rsid w:val="00D1085B"/>
    <w:rsid w:val="00D14C90"/>
    <w:rsid w:val="00D161AB"/>
    <w:rsid w:val="00D171E6"/>
    <w:rsid w:val="00D230D2"/>
    <w:rsid w:val="00D3723B"/>
    <w:rsid w:val="00D57F96"/>
    <w:rsid w:val="00D644ED"/>
    <w:rsid w:val="00D7368B"/>
    <w:rsid w:val="00D8781B"/>
    <w:rsid w:val="00D87D28"/>
    <w:rsid w:val="00DB150C"/>
    <w:rsid w:val="00DC499F"/>
    <w:rsid w:val="00E200C9"/>
    <w:rsid w:val="00E26ABF"/>
    <w:rsid w:val="00E35900"/>
    <w:rsid w:val="00E4153D"/>
    <w:rsid w:val="00E447FB"/>
    <w:rsid w:val="00E50679"/>
    <w:rsid w:val="00E7022C"/>
    <w:rsid w:val="00EA5DDA"/>
    <w:rsid w:val="00EE53D4"/>
    <w:rsid w:val="00F16FC3"/>
    <w:rsid w:val="00F178BC"/>
    <w:rsid w:val="00F2395F"/>
    <w:rsid w:val="00F4673A"/>
    <w:rsid w:val="00F52B46"/>
    <w:rsid w:val="00F8335F"/>
    <w:rsid w:val="00FA2E2E"/>
    <w:rsid w:val="00FC7DB3"/>
    <w:rsid w:val="00FD3D2B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AF56"/>
  <w15:chartTrackingRefBased/>
  <w15:docId w15:val="{B33A0635-DB1E-4382-A6E1-946139C9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C92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064C92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64C9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064C92"/>
    <w:rPr>
      <w:vertAlign w:val="superscript"/>
    </w:rPr>
  </w:style>
  <w:style w:type="character" w:styleId="a7">
    <w:name w:val="Hyperlink"/>
    <w:basedOn w:val="a0"/>
    <w:uiPriority w:val="99"/>
    <w:unhideWhenUsed/>
    <w:rsid w:val="004E004F"/>
    <w:rPr>
      <w:color w:val="0563C1" w:themeColor="hyperlink"/>
      <w:u w:val="single"/>
    </w:rPr>
  </w:style>
  <w:style w:type="paragraph" w:customStyle="1" w:styleId="ConsPlusNormal">
    <w:name w:val="ConsPlusNormal"/>
    <w:rsid w:val="003373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"/>
    <w:basedOn w:val="a0"/>
    <w:rsid w:val="00365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71D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1DC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161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61AB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16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61A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1D74473871410B2E49F2EE9C907462737BC2DED1BEB1BBB6BDCE57D6C8B71D43F14F7F003D90EA0220965AA8D04DDEABEF18DA7E7FE7D0G8v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BEC3-C5C1-440A-A101-C8A504C0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4</cp:revision>
  <cp:lastPrinted>2023-05-05T10:16:00Z</cp:lastPrinted>
  <dcterms:created xsi:type="dcterms:W3CDTF">2024-02-06T12:51:00Z</dcterms:created>
  <dcterms:modified xsi:type="dcterms:W3CDTF">2024-03-13T12:44:00Z</dcterms:modified>
</cp:coreProperties>
</file>