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left="11907" w:right="-598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>
        <w:rPr>
          <w:rFonts w:ascii="Times New Roman" w:hAnsi="Times New Roman"/>
          <w:sz w:val="28"/>
        </w:rPr>
        <w:t xml:space="preserve">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right="-598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достижении значений показателей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государственной программы</w:t>
      </w:r>
      <w:r>
        <w:rPr>
          <w:rFonts w:ascii="Times New Roman" w:hAnsi="Times New Roman"/>
          <w:sz w:val="28"/>
        </w:rPr>
        <w:t xml:space="preserve">, результатов структурных элементов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государственной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«Стимулирование развития жилищного строительства в Оренбургской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за I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полугодие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56"/>
        <w:jc w:val="both"/>
        <w:spacing w:after="0" w:line="240" w:lineRule="auto"/>
        <w:rPr>
          <w:rFonts w:ascii="Times New Roman" w:hAnsi="Times New Roman"/>
          <w:sz w:val="2"/>
          <w:szCs w:val="2"/>
          <w:highlight w:val="yellow"/>
        </w:rPr>
      </w:pPr>
      <w:r>
        <w:rPr>
          <w:rFonts w:ascii="Times New Roman" w:hAnsi="Times New Roman"/>
          <w:sz w:val="2"/>
          <w:szCs w:val="2"/>
          <w:highlight w:val="yellow"/>
        </w:rPr>
      </w:r>
      <w:r>
        <w:rPr>
          <w:rFonts w:ascii="Times New Roman" w:hAnsi="Times New Roman"/>
          <w:sz w:val="2"/>
          <w:szCs w:val="2"/>
          <w:highlight w:val="yellow"/>
        </w:rPr>
      </w:r>
      <w:r>
        <w:rPr>
          <w:rFonts w:ascii="Times New Roman" w:hAnsi="Times New Roman"/>
          <w:sz w:val="2"/>
          <w:szCs w:val="2"/>
          <w:highlight w:val="yellow"/>
        </w:rPr>
      </w:r>
    </w:p>
    <w:p>
      <w:pPr>
        <w:pStyle w:val="856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856"/>
        <w:jc w:val="center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"/>
          <w:szCs w:val="2"/>
          <w:lang w:eastAsia="ru-RU"/>
        </w:rPr>
      </w:r>
      <w:r>
        <w:rPr>
          <w:rFonts w:ascii="Times New Roman" w:hAnsi="Times New Roman"/>
          <w:sz w:val="2"/>
          <w:szCs w:val="2"/>
          <w:lang w:eastAsia="ru-RU"/>
        </w:rPr>
      </w:r>
      <w:r>
        <w:rPr>
          <w:rFonts w:ascii="Times New Roman" w:hAnsi="Times New Roman"/>
          <w:sz w:val="2"/>
          <w:szCs w:val="2"/>
          <w:lang w:eastAsia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6"/>
        <w:gridCol w:w="5406"/>
        <w:gridCol w:w="1482"/>
        <w:gridCol w:w="1032"/>
        <w:gridCol w:w="1032"/>
        <w:gridCol w:w="1207"/>
        <w:gridCol w:w="3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</w:t>
              <w:br w:type="textWrapping" w:clear="all"/>
              <w:t xml:space="preserve">п/п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(результата)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</w:t>
            </w:r>
            <w:r>
              <w:rPr>
                <w:rFonts w:ascii="Times New Roman" w:hAnsi="Times New Roman"/>
                <w:lang w:eastAsia="ru-RU"/>
              </w:rPr>
              <w:t xml:space="preserve">и</w:t>
            </w:r>
            <w:r>
              <w:rPr>
                <w:rFonts w:ascii="Times New Roman" w:hAnsi="Times New Roman"/>
                <w:lang w:eastAsia="ru-RU"/>
              </w:rPr>
              <w:t xml:space="preserve">ца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измер</w:t>
            </w:r>
            <w:r>
              <w:rPr>
                <w:rFonts w:ascii="Times New Roman" w:hAnsi="Times New Roman"/>
                <w:lang w:eastAsia="ru-RU"/>
              </w:rPr>
              <w:t xml:space="preserve">е</w:t>
            </w:r>
            <w:r>
              <w:rPr>
                <w:rFonts w:ascii="Times New Roman" w:hAnsi="Times New Roman"/>
                <w:lang w:eastAsia="ru-RU"/>
              </w:rPr>
              <w:t xml:space="preserve">ния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10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Значение показателя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(результата)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Обоснование отклонения значения </w:t>
            </w:r>
            <w:r>
              <w:rPr>
                <w:rFonts w:ascii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lang w:eastAsia="ru-RU"/>
              </w:rPr>
              <w:t xml:space="preserve">пок</w:t>
            </w:r>
            <w:r>
              <w:rPr>
                <w:rFonts w:ascii="Times New Roman" w:hAnsi="Times New Roman"/>
                <w:lang w:eastAsia="ru-RU"/>
              </w:rPr>
              <w:t xml:space="preserve">а</w:t>
            </w:r>
            <w:r>
              <w:rPr>
                <w:rFonts w:ascii="Times New Roman" w:hAnsi="Times New Roman"/>
                <w:lang w:eastAsia="ru-RU"/>
              </w:rPr>
              <w:t xml:space="preserve">зат</w:t>
            </w:r>
            <w:r>
              <w:rPr>
                <w:rFonts w:ascii="Times New Roman" w:hAnsi="Times New Roman"/>
                <w:lang w:eastAsia="ru-RU"/>
              </w:rPr>
              <w:t xml:space="preserve">е</w:t>
            </w:r>
            <w:r>
              <w:rPr>
                <w:rFonts w:ascii="Times New Roman" w:hAnsi="Times New Roman"/>
                <w:lang w:eastAsia="ru-RU"/>
              </w:rPr>
              <w:t xml:space="preserve">ля (результата)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(при наличии)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33"/>
          <w:tblHeader/>
        </w:trPr>
        <w:tc>
          <w:tcPr>
            <w:tcBorders>
              <w:right w:val="single" w:color="000000" w:sz="4" w:space="0"/>
            </w:tcBorders>
            <w:tcW w:w="246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W w:w="1828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75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19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828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факт на </w:t>
            </w:r>
            <w:r>
              <w:rPr>
                <w:rFonts w:ascii="Times New Roman" w:hAnsi="Times New Roman"/>
                <w:lang w:eastAsia="ru-RU"/>
              </w:rPr>
              <w:t xml:space="preserve">30.</w:t>
            </w:r>
            <w:r>
              <w:rPr>
                <w:rFonts w:ascii="Times New Roman" w:hAnsi="Times New Roman"/>
                <w:lang w:eastAsia="ru-RU"/>
              </w:rPr>
              <w:t xml:space="preserve">06</w:t>
            </w:r>
            <w:r>
              <w:rPr>
                <w:rFonts w:ascii="Times New Roman" w:hAnsi="Times New Roman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1319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65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eastAsia="ru-RU"/>
              </w:rPr>
              <w:t xml:space="preserve">Государственная программа «Стимулирование развития жилищного строительства в Оренбургской области»</w:t>
            </w:r>
            <w:r>
              <w:rPr>
                <w:rFonts w:ascii="Times New Roman" w:hAnsi="Times New Roman"/>
                <w:color w:val="000000" w:themeColor="text1"/>
                <w:spacing w:val="-4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93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Объем жилищного строительства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, млн. кв. метров в год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млн.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894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казателя (результата) за I полугодие – 51,9 %. Достижение п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казателя (результата) планир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/>
        <w:trPr>
          <w:trHeight w:val="93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whit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white"/>
                <w:lang w:eastAsia="ru-RU"/>
              </w:rPr>
            </w:r>
            <w:r>
              <w:rPr>
                <w:rFonts w:ascii="Times New Roman" w:hAnsi="Times New Roman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жилищного фонда, обновленного после 2019 года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11,2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10,34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показателя (результата) за I полугодие – 92,3 %.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/>
        <w:trPr>
          <w:trHeight w:val="93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Общая площадь жилых помещений, приходящаяся в среднем на одного жителя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кв. метров на человека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31,9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31,65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показателя (результата) за I полугодие –  99,2 %.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/>
        <w:trPr>
          <w:trHeight w:val="78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Количество граждан, переселенных из непригодного для проживания жилищного фонда (нарастающим итогом с 2019 года)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тыс. человек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7,6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7,827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Прогнозный показатель (результат) за             I полугодие 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перевыполнен на 3 %.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квадратных метров используемого арендного (наемного) жилищного фонда коммерческого использования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7,85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8,05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7,96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полугодие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– 98,9 %.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Уровень обеспеченности Оренбургской области, разработанной (актуализированной) документацией в области градостроительной деятельности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Уровень обеспеченности муниципальных образований Оренбургской области разработанными (актуализированными) документами в области градостроительной деятельности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объектов капитального строительства, соответствующих требованиям, указанным в части            16 статьи 54 Градостроительного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Доля проектных деклараций, соответствующих требованиям</w:t>
            </w:r>
            <w:r>
              <w:rPr>
                <w:rFonts w:ascii="Times New Roman" w:hAnsi="Times New Roman"/>
                <w:highlight w:val="none"/>
              </w:rPr>
              <w:t xml:space="preserve">, установленным Федеральным законом от 30.12.2004 № 214-Ф</w:t>
            </w:r>
            <w:r>
              <w:rPr>
                <w:rFonts w:ascii="Times New Roman" w:hAnsi="Times New Roman"/>
                <w:highlight w:val="none"/>
              </w:rPr>
              <w:t xml:space="preserve">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принятыми в соответствии с ним иными нормативными правовыми актами Российской Федерации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89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Прогнозный показатель (результат) за I полугодие перевыполнен на 25 %.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расселенной площади в общей площади аварийного жилого фонда (нарастающим итогом)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80,2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78,3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 полугодие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 – 97,6 %.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аварийного жилищного фонда, внесенного в цифровой реестр аварийного жилья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shd w:val="clear" w:color="c7d9f1" w:themeColor="text2" w:themeTint="33" w:fill="c7d9f1" w:themeFill="text2" w:themeFillTint="33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Региональный проект «Жилье»</w:t>
            </w:r>
            <w:r>
              <w:rPr>
                <w:rFonts w:ascii="Times New Roman" w:hAnsi="Times New Roman"/>
                <w:color w:val="00000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Расселен непригодный для проживания жилищный фонд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тыс. кв. метров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140,57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144,79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рогнозный показатель (результат) за           I полугодие перевыполнен на 3 %.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Обеспечен ввод жилья в Оренбургской области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млн. кв. метров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1,184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0,6146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Выполнение прогнозного показателя (результата) за I полугодие – 51,9 %.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eastAsia="ru-RU"/>
              </w:rPr>
              <w:t xml:space="preserve">Комплекс процессных мероприятий «Реализация инфраструктурных проектов»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Построено транспортных развязок в г. Оренбурге для обеспечения транспортной доступности к территории, ограниченной улицей Гаранькина, шоссе Загородным, перспективной магистралью районного значения, территорией городских округов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Количество выполненных договоров на технологическое присоединение к инженерным сетям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показателя (результата) за I полугодие – 20,0 %.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</w:r>
          </w:p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Количество построенных объектов коммунальной и транспортной инфраструктуры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«Развитие арендного (наемного) жилищного фонда.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Восстановление прав граждан – участников долевого строительства»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Проживает семей в арендном (наемном) жилищном фонде коммерческого использования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137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138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полугодие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– 98,6 %.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«Развитие системы градорегулирования в Оренбургской области»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Подготовлен проект изменений в схему территориального планирования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Разработаны (актуализированы) документы территориального планирования и градостроительного зонирования муниципальных образований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7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иведено документов территориального планирования,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размещения в ГИСОГД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7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Подготовлены документы для внесения сведений о границах населенных пунктов в Единый государственный реестр недвижимости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1298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1298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1298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5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Проведено консультаций по актуальным направлениям архитектурного и пространственного развития территорий муниципальных образований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 I полугодие – 50,0 %.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Проведено заседаний архитектурно-градостроительного совета при Губернаторе Оренбу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ргской области в запланированном количестве заседаний архитектурно-градостроительного совета при Губернаторе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полугодие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– 25,0 %. Достижение показателя (результата) планируется по итогам текущего года.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Увеличена доля граждан, вовлеченных в принятие участия в решении вопросов развития архитектурно-пространственной среды, в общей численности граждан, проживающих на территории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полугодие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– 28,6 %. Достижение показателя (результата) планируется по итогам текущего года.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Подготовлено материалов и технических заданий для проведения архитектурных конкурсов лучших проектов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Разработано проектов в области градостроительной деятельности муниципального образования город Оренбург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Разработано проектов в области градостроительной деятельности муниципальных образований Оренбургского района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5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Организовано выставочно-ярмарочных и конгрессных мероприятий в сфере архитектуры, градостроительства и пространственного развития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Выполнение прогнозного показателя (результата) за I полугодие – 66,7 %.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Комплекс процессных мероприятий «Обеспечение реализации государственной программы»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Устранено нарушений градостроительного законодательства в общем количестве нарушений, срок устранения которых наступил в отчетном периоде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Выдано в установленный законом срок заключений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Федерации, от общего количества заключений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Приобретено программное обеспечение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97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Проведено профилактических мероприятий в отношении застройщиков, привлекающих денежные средства участников долевого строительства, в общем количестве объектов контроля за отчетный период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Проанализировано в установленный в задании срок 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(или) иных объектов недвижимости, в общем количестве поступивших от застройщиков, привлекающих денежные средства участников долевого строительства, проектных деклараций (со дня заключения первого договора участия в долевом строительстве) за отчетный период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Введено в эксплуатацию объектов социальной и инженерной инфраструктур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Построено, реконструировано, отремонтировано объектов капитального строительства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212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203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Выполнение прогнозного показателя (результата) за I полугодие – 40,9 %.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Просрочена кредиторская задолженность по обязательствам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1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Выдано заключений по результатам проведенной государственной экспертизы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1237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722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348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Выполнение прогнозного показателя (результата) за I полугодие – 48,2 %.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47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«Развитие ипотечного жилищного кредитования в Оренбургской области»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0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Семьи, улучшившие жилищные условия за счет получения социальных выплат на уплату первоначального взноса при получении ипотечного жилищного кредита (или его части)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  <w:t xml:space="preserve">Выполнение прогнозного показателя (результата) за I полугодие – 72 %.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89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«Переселение граждан из аварийного жилищного фонда Оренбургской области»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74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 по переселению граждан из домов блокированной застройки, признанных аварийными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0,7762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0,874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0,263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Выполнение прогнозного показателя (результата) за I полугодие –  30,1 %.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68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 по переселению граждан из МКД, признанных аварийными после 1 января                 2022 года, находящихся под угрозой обрушения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1,6335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1,028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0,631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Выполнение прогнозного показателя (результата) за I полугодие – 61,4 %.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99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«Создание объектов инфраструктуры в целях реализации проектов по развитию территорий, расположенных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 границах населенных пунктов, предусматривающих строительство жилья»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68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жилья, которые ранее финансировались с привлечением средств федерального бюджета в рамках федерального проект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а «Жилье»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объектов инженерной инфраструктуры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507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even" r:id="rId9"/>
      <w:footnotePr/>
      <w:endnotePr/>
      <w:type w:val="nextPage"/>
      <w:pgSz w:w="16838" w:h="11906" w:orient="landscape"/>
      <w:pgMar w:top="737" w:right="1134" w:bottom="142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5"/>
      </w:rPr>
      <w:framePr w:wrap="around" w:vAnchor="text" w:hAnchor="margin" w:xAlign="center" w:y="1"/>
    </w:pPr>
    <w:r>
      <w:rPr>
        <w:rStyle w:val="865"/>
      </w:rPr>
      <w:fldChar w:fldCharType="begin"/>
    </w:r>
    <w:r>
      <w:rPr>
        <w:rStyle w:val="865"/>
      </w:rPr>
      <w:instrText xml:space="preserve">PAGE  </w:instrText>
    </w:r>
    <w:r>
      <w:rPr>
        <w:rStyle w:val="865"/>
      </w:rPr>
      <w:fldChar w:fldCharType="end"/>
    </w:r>
    <w:r>
      <w:rPr>
        <w:rStyle w:val="865"/>
      </w:rPr>
    </w:r>
    <w:r>
      <w:rPr>
        <w:rStyle w:val="865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857">
    <w:name w:val="Заголовок 1"/>
    <w:basedOn w:val="856"/>
    <w:next w:val="856"/>
    <w:link w:val="867"/>
    <w:qFormat/>
    <w:pPr>
      <w:jc w:val="center"/>
      <w:spacing w:before="108" w:after="108" w:line="240" w:lineRule="auto"/>
      <w:widowControl w:val="o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8">
    <w:name w:val="Заголовок 3"/>
    <w:basedOn w:val="856"/>
    <w:next w:val="856"/>
    <w:link w:val="85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59">
    <w:name w:val="Заголовок 4"/>
    <w:basedOn w:val="858"/>
    <w:next w:val="856"/>
    <w:link w:val="868"/>
    <w:qFormat/>
    <w:pPr>
      <w:jc w:val="center"/>
      <w:keepNext w:val="0"/>
      <w:spacing w:before="108" w:after="108" w:line="240" w:lineRule="auto"/>
      <w:widowControl w:val="off"/>
      <w:outlineLvl w:val="3"/>
    </w:pPr>
    <w:rPr>
      <w:rFonts w:ascii="Calibri" w:hAnsi="Calibri" w:cs="Times New Roman"/>
      <w:sz w:val="28"/>
      <w:szCs w:val="28"/>
      <w:lang w:val="en-US" w:eastAsia="en-US"/>
    </w:rPr>
  </w:style>
  <w:style w:type="character" w:styleId="860">
    <w:name w:val="Основной шрифт абзаца"/>
    <w:next w:val="860"/>
    <w:link w:val="870"/>
    <w:semiHidden/>
  </w:style>
  <w:style w:type="table" w:styleId="861">
    <w:name w:val="Обычная таблица"/>
    <w:next w:val="861"/>
    <w:link w:val="856"/>
    <w:semiHidden/>
    <w:tblPr/>
  </w:style>
  <w:style w:type="numbering" w:styleId="862">
    <w:name w:val="Нет списка"/>
    <w:next w:val="862"/>
    <w:link w:val="856"/>
    <w:semiHidden/>
  </w:style>
  <w:style w:type="paragraph" w:styleId="863">
    <w:name w:val="Нормальный (таблица)"/>
    <w:basedOn w:val="856"/>
    <w:next w:val="856"/>
    <w:link w:val="856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864">
    <w:name w:val="Верхний колонтитул"/>
    <w:basedOn w:val="856"/>
    <w:next w:val="864"/>
    <w:link w:val="856"/>
    <w:pPr>
      <w:tabs>
        <w:tab w:val="center" w:pos="4677" w:leader="none"/>
        <w:tab w:val="right" w:pos="9355" w:leader="none"/>
      </w:tabs>
    </w:pPr>
  </w:style>
  <w:style w:type="character" w:styleId="865">
    <w:name w:val="Номер страницы"/>
    <w:basedOn w:val="860"/>
    <w:next w:val="865"/>
    <w:link w:val="856"/>
  </w:style>
  <w:style w:type="paragraph" w:styleId="866">
    <w:name w:val="Прижатый влево"/>
    <w:basedOn w:val="856"/>
    <w:next w:val="856"/>
    <w:link w:val="856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character" w:styleId="867">
    <w:name w:val="Заголовок 1 Знак"/>
    <w:next w:val="867"/>
    <w:link w:val="857"/>
    <w:rPr>
      <w:rFonts w:ascii="Cambria" w:hAnsi="Cambria"/>
      <w:b/>
      <w:bCs/>
      <w:sz w:val="32"/>
      <w:szCs w:val="32"/>
      <w:lang w:val="en-US" w:eastAsia="en-US" w:bidi="ar-SA"/>
    </w:rPr>
  </w:style>
  <w:style w:type="character" w:styleId="868">
    <w:name w:val="Заголовок 4 Знак"/>
    <w:next w:val="868"/>
    <w:link w:val="859"/>
    <w:rPr>
      <w:rFonts w:ascii="Calibri" w:hAnsi="Calibri"/>
      <w:b/>
      <w:bCs/>
      <w:sz w:val="28"/>
      <w:szCs w:val="28"/>
      <w:lang w:val="en-US" w:eastAsia="en-US" w:bidi="ar-SA"/>
    </w:rPr>
  </w:style>
  <w:style w:type="character" w:styleId="869">
    <w:name w:val="Гипертекстовая ссылка"/>
    <w:next w:val="869"/>
    <w:link w:val="856"/>
    <w:uiPriority w:val="99"/>
    <w:rPr>
      <w:rFonts w:cs="Times New Roman"/>
      <w:color w:val="106bbe"/>
    </w:rPr>
  </w:style>
  <w:style w:type="paragraph" w:styleId="870">
    <w:name w:val=" Знак1"/>
    <w:basedOn w:val="856"/>
    <w:next w:val="870"/>
    <w:link w:val="86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871">
    <w:name w:val="Block Quotation"/>
    <w:basedOn w:val="856"/>
    <w:next w:val="871"/>
    <w:link w:val="856"/>
    <w:pPr>
      <w:ind w:left="567" w:right="-2" w:firstLine="851"/>
      <w:jc w:val="both"/>
      <w:spacing w:after="0" w:line="240" w:lineRule="auto"/>
      <w:widowControl w:val="off"/>
    </w:pPr>
    <w:rPr>
      <w:rFonts w:ascii="Times New Roman" w:hAnsi="Times New Roman" w:eastAsia="Calibri"/>
      <w:sz w:val="28"/>
      <w:szCs w:val="28"/>
      <w:lang w:eastAsia="ru-RU"/>
    </w:rPr>
  </w:style>
  <w:style w:type="paragraph" w:styleId="872">
    <w:name w:val="Основной текст 2"/>
    <w:basedOn w:val="856"/>
    <w:next w:val="872"/>
    <w:link w:val="873"/>
    <w:pPr>
      <w:jc w:val="center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73">
    <w:name w:val="Основной текст 2 Знак"/>
    <w:next w:val="873"/>
    <w:link w:val="872"/>
    <w:rPr>
      <w:sz w:val="24"/>
      <w:szCs w:val="24"/>
      <w:lang w:val="en-US" w:eastAsia="en-US" w:bidi="ar-SA"/>
    </w:rPr>
  </w:style>
  <w:style w:type="paragraph" w:styleId="874">
    <w:name w:val="Текст выноски"/>
    <w:basedOn w:val="856"/>
    <w:next w:val="874"/>
    <w:link w:val="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>
    <w:name w:val="Текст выноски Знак"/>
    <w:next w:val="875"/>
    <w:link w:val="874"/>
    <w:rPr>
      <w:rFonts w:ascii="Tahoma" w:hAnsi="Tahoma" w:cs="Tahoma"/>
      <w:sz w:val="16"/>
      <w:szCs w:val="16"/>
      <w:lang w:eastAsia="en-US"/>
    </w:rPr>
  </w:style>
  <w:style w:type="paragraph" w:styleId="876">
    <w:name w:val="Нижний колонтитул"/>
    <w:basedOn w:val="856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rPr>
      <w:rFonts w:ascii="Calibri" w:hAnsi="Calibri"/>
      <w:sz w:val="22"/>
      <w:szCs w:val="22"/>
      <w:lang w:eastAsia="en-US"/>
    </w:rPr>
  </w:style>
  <w:style w:type="character" w:styleId="878">
    <w:name w:val="Гиперссылка"/>
    <w:next w:val="878"/>
    <w:link w:val="856"/>
    <w:rPr>
      <w:color w:val="0000ff"/>
      <w:u w:val="single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eash</cp:lastModifiedBy>
  <cp:revision>644</cp:revision>
  <dcterms:created xsi:type="dcterms:W3CDTF">2018-02-15T09:24:00Z</dcterms:created>
  <dcterms:modified xsi:type="dcterms:W3CDTF">2025-07-14T05:51:48Z</dcterms:modified>
  <cp:version>1048576</cp:version>
</cp:coreProperties>
</file>