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0.xml" ContentType="application/vnd.openxmlformats-officedocument.wordprocessingml.head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638"/>
        <w:jc w:val="center"/>
        <w:outlineLvl w:val="0"/>
      </w:pPr>
      <w:r>
        <w:rPr>
          <w:sz w:val="24"/>
        </w:rPr>
        <w:t xml:space="preserve">ПРАВИТЕЛЬСТВО ОРЕНБУРГСКОЙ ОБЛАСТИ</w:t>
      </w:r>
      <w:r/>
    </w:p>
    <w:p>
      <w:pPr>
        <w:pStyle w:val="1638"/>
        <w:ind w:firstLine="540"/>
        <w:jc w:val="both"/>
      </w:pPr>
      <w:r>
        <w:rPr>
          <w:sz w:val="24"/>
        </w:rPr>
      </w:r>
      <w:r/>
    </w:p>
    <w:p>
      <w:pPr>
        <w:pStyle w:val="1638"/>
        <w:jc w:val="center"/>
      </w:pPr>
      <w:r>
        <w:rPr>
          <w:sz w:val="24"/>
        </w:rPr>
        <w:t xml:space="preserve">ПОСТАНОВЛЕНИЕ</w:t>
      </w:r>
      <w:r/>
    </w:p>
    <w:p>
      <w:pPr>
        <w:pStyle w:val="1638"/>
        <w:jc w:val="center"/>
      </w:pPr>
      <w:r>
        <w:rPr>
          <w:sz w:val="24"/>
        </w:rPr>
        <w:t xml:space="preserve">от 14 марта 2023 г. N 234-пп</w:t>
      </w:r>
      <w:r/>
    </w:p>
    <w:p>
      <w:pPr>
        <w:pStyle w:val="1638"/>
        <w:ind w:firstLine="540"/>
        <w:jc w:val="both"/>
      </w:pPr>
      <w:r>
        <w:rPr>
          <w:sz w:val="24"/>
        </w:rPr>
      </w:r>
      <w:r/>
    </w:p>
    <w:p>
      <w:pPr>
        <w:pStyle w:val="1638"/>
        <w:jc w:val="center"/>
      </w:pPr>
      <w:r>
        <w:rPr>
          <w:sz w:val="24"/>
        </w:rPr>
        <w:t xml:space="preserve">Об утверждении Положения о порядке формирования и ведения</w:t>
      </w:r>
      <w:r/>
    </w:p>
    <w:p>
      <w:pPr>
        <w:pStyle w:val="1638"/>
        <w:jc w:val="center"/>
      </w:pPr>
      <w:r>
        <w:rPr>
          <w:sz w:val="24"/>
        </w:rPr>
        <w:t xml:space="preserve">регионального реестра незавершенных объектов капитального</w:t>
      </w:r>
      <w:r/>
    </w:p>
    <w:p>
      <w:pPr>
        <w:pStyle w:val="1638"/>
        <w:jc w:val="center"/>
      </w:pPr>
      <w:r>
        <w:rPr>
          <w:sz w:val="24"/>
        </w:rPr>
        <w:t xml:space="preserve">строительства Оренбургской области, составе включаемых</w:t>
      </w:r>
      <w:r/>
    </w:p>
    <w:p>
      <w:pPr>
        <w:pStyle w:val="1638"/>
        <w:jc w:val="center"/>
      </w:pPr>
      <w:r>
        <w:rPr>
          <w:sz w:val="24"/>
        </w:rPr>
        <w:t xml:space="preserve">в него сведений и порядке представления таких сведений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636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hyperlink r:id="rId28" w:tooltip="Постановление Правительства Оренбургской области от 18.04.2025 N 332-пп &quot;О внесении изменений в постановления Правительства Оренбургской области от 14.03.2023 N 234-пп, от 20.06.2023 N 537-пп&quot; (вместе со &quot;Сведениями об объектах незавершенного строительства&quot;, &quot;Информацией о принятом (принятых) управленческом решении (управленческих решениях) в отношении объекта (объектов) незавершенного строительства, включенного (включенных) в региональный реестр незавершенных объектов капитального строительства Оренбургско {КонсультантПлюс}" w:history="1">
              <w:r>
                <w:rPr>
                  <w:color w:val="0000ff"/>
                  <w:sz w:val="24"/>
                </w:rPr>
                <w:t xml:space="preserve"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Оренбургской области</w:t>
            </w:r>
            <w:r/>
          </w:p>
          <w:p>
            <w:pPr>
              <w:pStyle w:val="1636"/>
              <w:jc w:val="center"/>
            </w:pPr>
            <w:r>
              <w:rPr>
                <w:color w:val="392c69"/>
                <w:sz w:val="24"/>
              </w:rPr>
              <w:t xml:space="preserve">от 18.04.2025 N 332-пп)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ind w:firstLine="540"/>
        <w:jc w:val="both"/>
      </w:pPr>
      <w:r>
        <w:rPr>
          <w:sz w:val="24"/>
        </w:rPr>
        <w:t xml:space="preserve">В соответствии с </w:t>
      </w:r>
      <w:hyperlink r:id="rId29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>
          <w:rPr>
            <w:color w:val="0000ff"/>
            <w:sz w:val="24"/>
          </w:rPr>
          <w:t xml:space="preserve">пунктом 4 статьи 55.35</w:t>
        </w:r>
      </w:hyperlink>
      <w:r>
        <w:rPr>
          <w:sz w:val="24"/>
        </w:rPr>
        <w:t xml:space="preserve"> Градостроительного кодекса Российской Федерации, со </w:t>
      </w:r>
      <w:hyperlink r:id="rId30" w:tooltip="Закон Оренбургской области от 16.11.2009 N 3223/740-IV-ОЗ (ред. от 30.10.2024) &quot;О Правительстве Оренбургской области&quot; (принят постановлением Законодательного Собрания Оренбургской области от 21.10.2009 N 3223) {КонсультантПлюс}" w:history="1">
        <w:r>
          <w:rPr>
            <w:color w:val="0000ff"/>
            <w:sz w:val="24"/>
          </w:rPr>
          <w:t xml:space="preserve">статьей 19</w:t>
        </w:r>
      </w:hyperlink>
      <w:r>
        <w:rPr>
          <w:sz w:val="24"/>
        </w:rPr>
        <w:t xml:space="preserve"> Закона Оренбургской области от 16 ноября 2009 года N 3223/740-IV-ОЗ "О Правительстве Оренбургской области" Правительство Оренбургской области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ПОСТАНОВЛЯЕТ:</w:t>
      </w:r>
      <w:r/>
    </w:p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ind w:firstLine="540"/>
        <w:jc w:val="both"/>
      </w:pPr>
      <w:r>
        <w:rPr>
          <w:sz w:val="24"/>
        </w:rPr>
        <w:t xml:space="preserve">1. Утвердить </w:t>
      </w:r>
      <w:hyperlink w:tooltip="Положение" w:anchor="P41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порядке формирования и ведения регионального реестра незавершенных объектов капитального строительства Оренбургской области, составе включаемых в него сведений и порядке представления таких сведений согласно приложению.</w:t>
      </w:r>
      <w:r/>
    </w:p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ind w:firstLine="540"/>
        <w:jc w:val="both"/>
      </w:pPr>
      <w:r>
        <w:rPr>
          <w:sz w:val="24"/>
        </w:rPr>
        <w:t xml:space="preserve">2. Определить минист</w:t>
      </w:r>
      <w:r>
        <w:rPr>
          <w:sz w:val="24"/>
        </w:rPr>
        <w:t xml:space="preserve">ерство строительства, жилищно-коммунального, дорожного хозяйства и транспорта Оренбургской области органом, уполномоченным на осуществление формирования и ведения регионального реестра незавершенных объектов капитального строительства Оренбургской области.</w:t>
      </w:r>
      <w:r/>
    </w:p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ind w:firstLine="540"/>
        <w:jc w:val="both"/>
      </w:pPr>
      <w:r>
        <w:rPr>
          <w:sz w:val="24"/>
        </w:rPr>
        <w:t xml:space="preserve">3. Контроль за исполнением настоящего постановления возложить на вице-губернатора - заместителя председателя Правительства - министра строительства, жилищно-коммунального, дорожного хозяйства и транспорта Оренбургской области.</w:t>
      </w:r>
      <w:r/>
    </w:p>
    <w:p>
      <w:pPr>
        <w:pStyle w:val="1636"/>
        <w:jc w:val="both"/>
      </w:pPr>
      <w:r>
        <w:rPr>
          <w:sz w:val="24"/>
        </w:rPr>
        <w:t xml:space="preserve">(п. 3 в ред. </w:t>
      </w:r>
      <w:hyperlink r:id="rId31" w:tooltip="Постановление Правительства Оренбургской области от 18.04.2025 N 332-пп &quot;О внесении изменений в постановления Правительства Оренбургской области от 14.03.2023 N 234-пп, от 20.06.2023 N 537-пп&quot; (вместе со &quot;Сведениями об объектах незавершенного строительства&quot;, &quot;Информацией о принятом (принятых) управленческом решении (управленческих решениях) в отношении объекта (объектов) незавершенного строительства, включенного (включенных) в региональный реестр незавершенных объектов капитального строительства Оренбургско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Оренбургской области от 18.04.2025 N 332-пп)</w:t>
      </w:r>
      <w:r/>
    </w:p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ind w:firstLine="540"/>
        <w:jc w:val="both"/>
      </w:pPr>
      <w:r>
        <w:rPr>
          <w:sz w:val="24"/>
        </w:rPr>
        <w:t xml:space="preserve">4. Постановление вступает в силу после дня его официального опубликования.</w:t>
      </w:r>
      <w:r/>
    </w:p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jc w:val="right"/>
      </w:pPr>
      <w:r>
        <w:rPr>
          <w:sz w:val="24"/>
        </w:rPr>
        <w:t xml:space="preserve">Губернатор -</w:t>
      </w:r>
      <w:r/>
    </w:p>
    <w:p>
      <w:pPr>
        <w:pStyle w:val="1636"/>
        <w:jc w:val="right"/>
      </w:pPr>
      <w:r>
        <w:rPr>
          <w:sz w:val="24"/>
        </w:rPr>
        <w:t xml:space="preserve">председатель Правительства</w:t>
      </w:r>
      <w:r/>
    </w:p>
    <w:p>
      <w:pPr>
        <w:pStyle w:val="1636"/>
        <w:jc w:val="right"/>
      </w:pPr>
      <w:r>
        <w:rPr>
          <w:sz w:val="24"/>
        </w:rPr>
        <w:t xml:space="preserve">Оренбургской области</w:t>
      </w:r>
      <w:r/>
    </w:p>
    <w:p>
      <w:pPr>
        <w:pStyle w:val="1636"/>
        <w:jc w:val="right"/>
      </w:pPr>
      <w:r>
        <w:rPr>
          <w:sz w:val="24"/>
        </w:rPr>
        <w:t xml:space="preserve">Д.В.ПАСЛЕР</w:t>
      </w:r>
      <w:r/>
    </w:p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jc w:val="right"/>
        <w:outlineLvl w:val="0"/>
      </w:pPr>
      <w:r>
        <w:rPr>
          <w:sz w:val="24"/>
        </w:rPr>
        <w:t xml:space="preserve">Приложение</w:t>
      </w:r>
      <w:r/>
    </w:p>
    <w:p>
      <w:pPr>
        <w:pStyle w:val="1636"/>
        <w:jc w:val="right"/>
      </w:pPr>
      <w:r>
        <w:rPr>
          <w:sz w:val="24"/>
        </w:rPr>
        <w:t xml:space="preserve">к постановлению</w:t>
      </w:r>
      <w:r/>
    </w:p>
    <w:p>
      <w:pPr>
        <w:pStyle w:val="1636"/>
        <w:jc w:val="right"/>
      </w:pPr>
      <w:r>
        <w:rPr>
          <w:sz w:val="24"/>
        </w:rPr>
        <w:t xml:space="preserve">Правительства</w:t>
      </w:r>
      <w:r/>
    </w:p>
    <w:p>
      <w:pPr>
        <w:pStyle w:val="1636"/>
        <w:jc w:val="right"/>
      </w:pPr>
      <w:r>
        <w:rPr>
          <w:sz w:val="24"/>
        </w:rPr>
        <w:t xml:space="preserve">Оренбургской области</w:t>
      </w:r>
      <w:r/>
    </w:p>
    <w:p>
      <w:pPr>
        <w:pStyle w:val="1636"/>
        <w:jc w:val="right"/>
      </w:pPr>
      <w:r>
        <w:rPr>
          <w:sz w:val="24"/>
        </w:rPr>
        <w:t xml:space="preserve">от 14 марта 2023 г. N 234-пп</w:t>
      </w:r>
      <w:r/>
    </w:p>
    <w:p>
      <w:pPr>
        <w:pStyle w:val="1636"/>
        <w:jc w:val="both"/>
      </w:pPr>
      <w:r>
        <w:rPr>
          <w:sz w:val="24"/>
        </w:rPr>
      </w:r>
      <w:r/>
    </w:p>
    <w:p>
      <w:pPr>
        <w:pStyle w:val="1638"/>
        <w:jc w:val="center"/>
      </w:pPr>
      <w:r/>
      <w:bookmarkStart w:id="41" w:name="P41"/>
      <w:r/>
      <w:bookmarkEnd w:id="41"/>
      <w:r>
        <w:rPr>
          <w:sz w:val="24"/>
        </w:rPr>
        <w:t xml:space="preserve">Положение</w:t>
      </w:r>
      <w:r/>
    </w:p>
    <w:p>
      <w:pPr>
        <w:pStyle w:val="1638"/>
        <w:jc w:val="center"/>
      </w:pPr>
      <w:r>
        <w:rPr>
          <w:sz w:val="24"/>
        </w:rPr>
        <w:t xml:space="preserve">о порядке формирования и ведения регионального реестра</w:t>
      </w:r>
      <w:r/>
    </w:p>
    <w:p>
      <w:pPr>
        <w:pStyle w:val="1638"/>
        <w:jc w:val="center"/>
      </w:pPr>
      <w:r>
        <w:rPr>
          <w:sz w:val="24"/>
        </w:rPr>
        <w:t xml:space="preserve">незавершенных объектов капитального строительства</w:t>
      </w:r>
      <w:r/>
    </w:p>
    <w:p>
      <w:pPr>
        <w:pStyle w:val="1638"/>
        <w:jc w:val="center"/>
      </w:pPr>
      <w:r>
        <w:rPr>
          <w:sz w:val="24"/>
        </w:rPr>
        <w:t xml:space="preserve">Оренбургской области, составе включаемых в него сведений</w:t>
      </w:r>
      <w:r/>
    </w:p>
    <w:p>
      <w:pPr>
        <w:pStyle w:val="1638"/>
        <w:jc w:val="center"/>
      </w:pPr>
      <w:r>
        <w:rPr>
          <w:sz w:val="24"/>
        </w:rPr>
        <w:t xml:space="preserve">и порядке представления таких сведений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636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hyperlink r:id="rId32" w:tooltip="Постановление Правительства Оренбургской области от 18.04.2025 N 332-пп &quot;О внесении изменений в постановления Правительства Оренбургской области от 14.03.2023 N 234-пп, от 20.06.2023 N 537-пп&quot; (вместе со &quot;Сведениями об объектах незавершенного строительства&quot;, &quot;Информацией о принятом (принятых) управленческом решении (управленческих решениях) в отношении объекта (объектов) незавершенного строительства, включенного (включенных) в региональный реестр незавершенных объектов капитального строительства Оренбургско {КонсультантПлюс}" w:history="1">
              <w:r>
                <w:rPr>
                  <w:color w:val="0000ff"/>
                  <w:sz w:val="24"/>
                </w:rPr>
                <w:t xml:space="preserve"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Оренбургской области</w:t>
            </w:r>
            <w:r/>
          </w:p>
          <w:p>
            <w:pPr>
              <w:pStyle w:val="1636"/>
              <w:jc w:val="center"/>
            </w:pPr>
            <w:r>
              <w:rPr>
                <w:color w:val="392c69"/>
                <w:sz w:val="24"/>
              </w:rPr>
              <w:t xml:space="preserve">от 18.04.2025 N 332-пп)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ind w:firstLine="540"/>
        <w:jc w:val="both"/>
      </w:pPr>
      <w:r>
        <w:rPr>
          <w:sz w:val="24"/>
        </w:rPr>
        <w:t xml:space="preserve">1. Настоящее Положение устанавливает порядок ф</w:t>
      </w:r>
      <w:r>
        <w:rPr>
          <w:sz w:val="24"/>
        </w:rPr>
        <w:t xml:space="preserve">ормирования и ведения регионального реестра незавершенных объектов капитального строительства Оренбургской области, состав включаемых в него сведений и порядок представления таких сведений (далее - реестр незавершенных объектов капитального строительства).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2. Понятия и термины, используемые в настоящем Положении, применяются в значениях, определенных Градостроительным </w:t>
      </w:r>
      <w:hyperlink r:id="rId33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>
          <w:rPr>
            <w:color w:val="0000ff"/>
            <w:sz w:val="24"/>
          </w:rPr>
          <w:t xml:space="preserve">кодексом</w:t>
        </w:r>
      </w:hyperlink>
      <w:r>
        <w:rPr>
          <w:sz w:val="24"/>
        </w:rPr>
        <w:t xml:space="preserve"> Российской Федерации.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3. В реестр незавершенных объектов капитального строительства подлежат включению находящиеся в государственной собственности Оренбургской области, собственности муниципальных образований Оренбургской области незавершенные объекты кап</w:t>
      </w:r>
      <w:r>
        <w:rPr>
          <w:sz w:val="24"/>
        </w:rPr>
        <w:t xml:space="preserve">итального строительства, строительство, реконструкция которых осуществлялись полностью или частично за счет средств бюджета Оренбургской области, средств бюджетов муниципальных образований Оренбургской области (далее - объект незавершенного строительства).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Формирование и вед</w:t>
      </w:r>
      <w:r>
        <w:rPr>
          <w:sz w:val="24"/>
        </w:rPr>
        <w:t xml:space="preserve">ение реестра незавершенных объектов капитального строительства осуществляется министерством строительства, жилищно-коммунального, дорожного хозяйства и транспорта Оренбургской области (далее - уполномоченный орган) в электронной форме (в формате MS Excel).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4. Реестр незавершенных объектов капитального строительства формируется путем включения в него </w:t>
      </w:r>
      <w:hyperlink w:tooltip="Сведения" w:anchor="P104" w:history="1">
        <w:r>
          <w:rPr>
            <w:color w:val="0000ff"/>
            <w:sz w:val="24"/>
          </w:rPr>
          <w:t xml:space="preserve">сведений</w:t>
        </w:r>
      </w:hyperlink>
      <w:r>
        <w:rPr>
          <w:sz w:val="24"/>
        </w:rPr>
        <w:t xml:space="preserve"> об объектах незавершенного строительства по форме согласно приложению N 1 к настоящему Положению.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5. Включение объекта незавершенного строительства в реестр незавершенных объектов капитального строительства производится при наличии оснований, предусмотренных </w:t>
      </w:r>
      <w:hyperlink r:id="rId34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>
          <w:rPr>
            <w:color w:val="0000ff"/>
            <w:sz w:val="24"/>
          </w:rPr>
          <w:t xml:space="preserve">частью 1 статьи 55.34</w:t>
        </w:r>
      </w:hyperlink>
      <w:r>
        <w:rPr>
          <w:sz w:val="24"/>
        </w:rPr>
        <w:t xml:space="preserve"> Градостроительного кодекса Российской Федерации.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6. Для включения в реестр незавершенных объе</w:t>
      </w:r>
      <w:r>
        <w:rPr>
          <w:sz w:val="24"/>
        </w:rPr>
        <w:t xml:space="preserve">ктов капитального строительства сведений об объектах незавершенного строительства главные распорядители средств бюджета Оренбургской области, бюджетов муниципальных образований Оренбургской области, на балансе которых числятся такие объекты (далее - главны</w:t>
      </w:r>
      <w:r>
        <w:rPr>
          <w:sz w:val="24"/>
        </w:rPr>
        <w:t xml:space="preserve">е распорядители бюджетных средств), направляют в уполномоченный орган заявление о включении в реестр незавершенных объектов капитального строительства сведений об объектах незавершенного строительства в произвольной форме (далее - заявление) с приложением </w:t>
      </w:r>
      <w:hyperlink w:tooltip="Сведения" w:anchor="P104" w:history="1">
        <w:r>
          <w:rPr>
            <w:color w:val="0000ff"/>
            <w:sz w:val="24"/>
          </w:rPr>
          <w:t xml:space="preserve">сведений</w:t>
        </w:r>
      </w:hyperlink>
      <w:r>
        <w:rPr>
          <w:sz w:val="24"/>
        </w:rPr>
        <w:t xml:space="preserve"> о них по форме согласно приложению N 1 к настоящему Положению.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Сведения об объектах незавершенного строительства по состоянию на 1 января текущего года представляются главными распорядителями бюджетных средств в уполномоченный орган с использовани</w:t>
      </w:r>
      <w:r>
        <w:rPr>
          <w:sz w:val="24"/>
        </w:rPr>
        <w:t xml:space="preserve">ем автоматизированной системы электронного документооборота в исполнительных органах Оренбургской области (при отсутствии технической возможности - на бумажном носителе, заверенном подписью уполномоченного должностного лица) не позднее 1 мая текущего года.</w:t>
      </w:r>
      <w:r/>
    </w:p>
    <w:p>
      <w:pPr>
        <w:pStyle w:val="1636"/>
        <w:jc w:val="both"/>
      </w:pPr>
      <w:r>
        <w:rPr>
          <w:sz w:val="24"/>
        </w:rPr>
        <w:t xml:space="preserve">(в ред. </w:t>
      </w:r>
      <w:hyperlink r:id="rId35" w:tooltip="Постановление Правительства Оренбургской области от 18.04.2025 N 332-пп &quot;О внесении изменений в постановления Правительства Оренбургской области от 14.03.2023 N 234-пп, от 20.06.2023 N 537-пп&quot; (вместе со &quot;Сведениями об объектах незавершенного строительства&quot;, &quot;Информацией о принятом (принятых) управленческом решении (управленческих решениях) в отношении объекта (объектов) незавершенного строительства, включенного (включенных) в региональный реестр незавершенных объектов капитального строительства Оренбургско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Оренбургской области от 18.04.2025 N 332-пп)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7. Уполномоченный орган в течение 30 календарных дней со дня поступления заявления и сведений об объектах незавершенного строительства рассматривает</w:t>
      </w:r>
      <w:r>
        <w:rPr>
          <w:sz w:val="24"/>
        </w:rPr>
        <w:t xml:space="preserve"> их и принимает решение о включении объекта незавершенного строительства в реестр незавершенных объектов капитального строительства либо об отказе во включении объекта незавершенного строительства в реестр незавершенных объектов капитального строительства.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8. Основаниями для отказа во включении объекта незаве</w:t>
      </w:r>
      <w:r>
        <w:rPr>
          <w:sz w:val="24"/>
        </w:rPr>
        <w:t xml:space="preserve">ршенного строительства в реестр незавершенных объектов капитального строительства являются непредставление заявления и сведений об объектах незавершенного строительства или представление сведений об объектах незавершенного строительства не в полном объеме.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9. Уполномоченный орган в течение 10 рабочих дней со дня принятия решения о включении объекта незавершенного строительства в реестр незавершенных объектов капита</w:t>
      </w:r>
      <w:r>
        <w:rPr>
          <w:sz w:val="24"/>
        </w:rPr>
        <w:t xml:space="preserve">льного строительства либо об отказе во включении объекта незавершенного строительства в реестр незавершенных объектов капитального строительства направляет главному распорядителю бюджетных средств уведомление о принятом по результатам рассмотрения заявлени</w:t>
      </w:r>
      <w:r>
        <w:rPr>
          <w:sz w:val="24"/>
        </w:rPr>
        <w:t xml:space="preserve">я и сведений об объектах незавершенного строительства решении. В случае принятия решения об отказе во включении объекта незавершенного строительства в реестр незавершенных объектов капитального строительства в уведомлении указываются причины такого отказа.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10. Сведения об объекте незавершенного строительства включаются уполномоченным органо</w:t>
      </w:r>
      <w:r>
        <w:rPr>
          <w:sz w:val="24"/>
        </w:rPr>
        <w:t xml:space="preserve">м в реестр незавершенных объектов капитального строительства в соответствии с решением о включении объекта незавершенного строительства в реестр незавершенных объектов капитального строительства в течение 15 рабочих дней со дня принятия указанного решения.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11. Ведение реестра незавершенных объектов капитального строительства осуществляется: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путем внесения изменений в сведения об объектах незавершенного строительства, включенные в реестр незавершенных объектов капитального строительства;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путем исключения из реестра незавершенных объектов капитального строительства сведений об объектах незавершенного строительства.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12. Внесение изменений в сведения об объе</w:t>
      </w:r>
      <w:r>
        <w:rPr>
          <w:sz w:val="24"/>
        </w:rPr>
        <w:t xml:space="preserve">кте незавершенного строительства, включенные в реестр незавершенных объектов капитального строительства, осуществляется уполномоченным органом по заявлению о внесении изменений в сведения об объекте незавершенного строительства, представленному главным рас</w:t>
      </w:r>
      <w:r>
        <w:rPr>
          <w:sz w:val="24"/>
        </w:rPr>
        <w:t xml:space="preserve">порядителем бюджетных средств в произвольной форме (далее - заявление о внесении изменений). Заявление о внесении изменений представляется в течение 20 рабочих дней со дня изменения сведений об объекте незавершенного строительства с приложением уточненных </w:t>
      </w:r>
      <w:hyperlink w:tooltip="Сведения" w:anchor="P104" w:history="1">
        <w:r>
          <w:rPr>
            <w:color w:val="0000ff"/>
            <w:sz w:val="24"/>
          </w:rPr>
          <w:t xml:space="preserve">сведений</w:t>
        </w:r>
      </w:hyperlink>
      <w:r>
        <w:rPr>
          <w:sz w:val="24"/>
        </w:rPr>
        <w:t xml:space="preserve"> об объекте незавершенного строительства по форме согласно приложению N 1 к настоящему Положению.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13. Уполномоченны</w:t>
      </w:r>
      <w:r>
        <w:rPr>
          <w:sz w:val="24"/>
        </w:rPr>
        <w:t xml:space="preserve">й орган в течение 20 рабочих дней со дня поступления заявления о внесении изменений и сведений об объектах незавершенного строительства рассматривает их и по результатам рассмотрения принимает решение о внесении изменений в сведения об объекте незавершенно</w:t>
      </w:r>
      <w:r>
        <w:rPr>
          <w:sz w:val="24"/>
        </w:rPr>
        <w:t xml:space="preserve">го строительства, включенные в реестр незавершенных объектов капитального строительства, либо решение об отказе во внесении изменений в сведения об объекте незавершенного строительства, включенные в реестр незавершенных объектов капитального строительства.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14. Основаниями для отказа во внесении изменений в сведения об объекте незавершенного строительства, включенн</w:t>
      </w:r>
      <w:r>
        <w:rPr>
          <w:sz w:val="24"/>
        </w:rPr>
        <w:t xml:space="preserve">ые в реестр незавершенных объектов капитального строительства, являются непредставление заявления о внесении изменений и сведений об объекте незавершенного строительства или представление сведений об объекте незавершенного строительства не в полном объеме.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15. Уполномоченный орган в течение 10 рабочих дней со дня принятия решения о внесении изменений либо об отказе во внесении изменений </w:t>
      </w:r>
      <w:r>
        <w:rPr>
          <w:sz w:val="24"/>
        </w:rPr>
        <w:t xml:space="preserve">в сведения об объекте незавершенного строительства, включенные в реестр незавершенных объектов капитального строительства, вносит изменения в сведения об объекте незавершенного строительства, включенные в реестр незавершенных объектов капитального строител</w:t>
      </w:r>
      <w:r>
        <w:rPr>
          <w:sz w:val="24"/>
        </w:rPr>
        <w:t xml:space="preserve">ьства, в случае принятия такого решения и информирует главного распорядителя бюджетных средств о решении, принятом по результатам рассмотрения заявления о внесении изменений в сведения об объекте незавершенного строительства, путем направления уведомления.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В случае принятия решения об отказе во внесении изменений в сведения об объекте незавершенного строительства, включенные в реестр незавершенных объектов капитального строительства, в уведомлении указываются причины такого отказа.</w:t>
      </w:r>
      <w:r/>
    </w:p>
    <w:p>
      <w:pPr>
        <w:pStyle w:val="1636"/>
        <w:ind w:firstLine="540"/>
        <w:jc w:val="both"/>
        <w:spacing w:before="240"/>
      </w:pPr>
      <w:r/>
      <w:bookmarkStart w:id="71" w:name="P71"/>
      <w:r/>
      <w:bookmarkEnd w:id="71"/>
      <w:r>
        <w:rPr>
          <w:sz w:val="24"/>
        </w:rPr>
        <w:t xml:space="preserve">16. Объект незавершенного строительства исключается из реестра незавершенных объектов капитального строительства по следующим основаниям: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завершение строительства (реконструкции) объекта незавершенного строительства и ввод его в эксплуатацию;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приватизация (отчуждение) объекта незавершенного строительства в установленном законодательством Российской Федерации порядке;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снос и списание объекта незавершенного строительства в порядке, устано</w:t>
      </w:r>
      <w:r>
        <w:rPr>
          <w:sz w:val="24"/>
        </w:rPr>
        <w:t xml:space="preserve">вленном законодательством Российской Федерации. Под списанием объекта незавершенного строительства в настоящем Положении понимается оформление соответствующих документов в порядке, установленном законодательством Российской Федерации о бухгалтерском учете;</w:t>
      </w:r>
      <w:r/>
    </w:p>
    <w:p>
      <w:pPr>
        <w:pStyle w:val="1636"/>
        <w:jc w:val="both"/>
      </w:pPr>
      <w:r>
        <w:rPr>
          <w:sz w:val="24"/>
        </w:rPr>
        <w:t xml:space="preserve">(в ред. </w:t>
      </w:r>
      <w:hyperlink r:id="rId36" w:tooltip="Постановление Правительства Оренбургской области от 18.04.2025 N 332-пп &quot;О внесении изменений в постановления Правительства Оренбургской области от 14.03.2023 N 234-пп, от 20.06.2023 N 537-пп&quot; (вместе со &quot;Сведениями об объектах незавершенного строительства&quot;, &quot;Информацией о принятом (принятых) управленческом решении (управленческих решениях) в отношении объекта (объектов) незавершенного строительства, включенного (включенных) в региональный реестр незавершенных объектов капитального строительства Оренбургско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Оренбургской области от 18.04.2025 N 332-пп)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передача объекта из государственной собственности Оренбургской области, собственности муниципальных образований Оренбургской области в федеральную собственность в порядке, установленном законодательством Российской Федерации.</w:t>
      </w:r>
      <w:r/>
    </w:p>
    <w:p>
      <w:pPr>
        <w:pStyle w:val="1636"/>
        <w:jc w:val="both"/>
      </w:pPr>
      <w:r>
        <w:rPr>
          <w:sz w:val="24"/>
        </w:rPr>
        <w:t xml:space="preserve">(абзац введен </w:t>
      </w:r>
      <w:hyperlink r:id="rId37" w:tooltip="Постановление Правительства Оренбургской области от 18.04.2025 N 332-пп &quot;О внесении изменений в постановления Правительства Оренбургской области от 14.03.2023 N 234-пп, от 20.06.2023 N 537-пп&quot; (вместе со &quot;Сведениями об объектах незавершенного строительства&quot;, &quot;Информацией о принятом (принятых) управленческом решении (управленческих решениях) в отношении объекта (объектов) незавершенного строительства, включенного (включенных) в региональный реестр незавершенных объектов капитального строительства Оренбургско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Оренбургской области от 18.04.2025 N 332-пп)</w:t>
      </w:r>
      <w:r/>
    </w:p>
    <w:p>
      <w:pPr>
        <w:pStyle w:val="1636"/>
        <w:ind w:firstLine="540"/>
        <w:jc w:val="both"/>
        <w:spacing w:before="240"/>
      </w:pPr>
      <w:r/>
      <w:bookmarkStart w:id="78" w:name="P78"/>
      <w:r/>
      <w:bookmarkEnd w:id="78"/>
      <w:r>
        <w:rPr>
          <w:sz w:val="24"/>
        </w:rPr>
        <w:t xml:space="preserve">17. Для исключения из реестра незавершенных объектов капитального строительства сведений об объекте незавершенного строительства главный распорядитель бюджетных средств направляет в уполномо</w:t>
      </w:r>
      <w:r>
        <w:rPr>
          <w:sz w:val="24"/>
        </w:rPr>
        <w:t xml:space="preserve">ченный орган заявление об исключении объекта незавершенного строительства из реестра незавершенных объектов капитального строительства (далее - заявление об исключении), составленное в произвольной форме, и сведения об объекте незавершенного строительства.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К заявлению об исключении прилагаются копии документов, подтверждающих наличие оснований для исключения объекта незавершенного строительства из реестра незавершенных объектов капитального строительства, указанных в </w:t>
      </w:r>
      <w:hyperlink w:tooltip="16. Объект незавершенного строительства исключается из реестра незавершенных объектов капитального строительства по следующим основаниям:" w:anchor="P71" w:history="1">
        <w:r>
          <w:rPr>
            <w:color w:val="0000ff"/>
            <w:sz w:val="24"/>
          </w:rPr>
          <w:t xml:space="preserve">пункте 16</w:t>
        </w:r>
      </w:hyperlink>
      <w:r>
        <w:rPr>
          <w:sz w:val="24"/>
        </w:rPr>
        <w:t xml:space="preserve"> настоящего Положения.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18. Уполномоченный орган в течение 20 рабочих дней со дня поступления заявления об исключении и прилагаемых к нему документов рассматривает их и по результатам рассмотрения принимает решение об иск</w:t>
      </w:r>
      <w:r>
        <w:rPr>
          <w:sz w:val="24"/>
        </w:rPr>
        <w:t xml:space="preserve">лючении из реестра незавершенных объектов капитального строительства сведений об объекте незавершенного строительства либо об отказе в исключении из реестра незавершенных объектов капитального строительства сведений об объекте незавершенного строительства.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19. Основаниями для отказа в исключении из реестра незавершенных объектов капитального строительства сведений об объекте незавершенного строительства являются непредставление или представление не в полном объеме документов, указанных в </w:t>
      </w:r>
      <w:hyperlink w:tooltip="17. Для исключения из реестра незавершенных объектов капитального строительства сведений об объекте незавершенного строительства главный распорядитель бюджетных средств направляет в уполномоченный орган заявление об исключении объекта незавершенного строительства из реестра незавершенных объектов капитального строительства (далее - заявление об исключении), составленное в произвольной форме, и сведения об объекте незавершенного строительства." w:anchor="P78" w:history="1">
        <w:r>
          <w:rPr>
            <w:color w:val="0000ff"/>
            <w:sz w:val="24"/>
          </w:rPr>
          <w:t xml:space="preserve">пункте 17</w:t>
        </w:r>
      </w:hyperlink>
      <w:r>
        <w:rPr>
          <w:sz w:val="24"/>
        </w:rPr>
        <w:t xml:space="preserve"> настоящего Положения.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20. Уполномоченный орган в течение 10 рабочих дней со дня принятия решения об исключении из реестра незавершенных объектов капитального строительства сведений об объекте незавершенного строительства либо об</w:t>
      </w:r>
      <w:r>
        <w:rPr>
          <w:sz w:val="24"/>
        </w:rPr>
        <w:t xml:space="preserve"> отказе в исключении из реестра незавершенных объектов капитального строительства сведений об объекте незавершенного строительства информирует главного распорядителя бюджетных средств о решении, принятом по результатам рассмотрения заявления об исключении,</w:t>
      </w:r>
      <w:r>
        <w:rPr>
          <w:sz w:val="24"/>
        </w:rPr>
        <w:t xml:space="preserve"> путем направления соответствующего уведомления. В случае принятия решения об отказе в исключении из реестра незавершенных объектов капитального строительства сведений об объекте незавершенного строительства в уведомлении указываются причины такого отказа.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21. Сведения об объекте незавершенного ст</w:t>
      </w:r>
      <w:r>
        <w:rPr>
          <w:sz w:val="24"/>
        </w:rPr>
        <w:t xml:space="preserve">роительства исключаются уполномоченным органом из реестра незавершенных объектов капитального строительства ежеквартально на основании решений об исключении объектов незавершенного строительства из реестра незавершенных объектов капитального строительства.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22. Реестр незавершенных объектов капитального строительства размещается на официальном сайте уполномоченного органа в информационно-телекоммуникационной сети "Интернет".</w:t>
      </w:r>
      <w:r/>
    </w:p>
    <w:p>
      <w:pPr>
        <w:pStyle w:val="1636"/>
        <w:ind w:firstLine="540"/>
        <w:jc w:val="both"/>
        <w:spacing w:before="240"/>
      </w:pPr>
      <w:r>
        <w:rPr>
          <w:sz w:val="24"/>
        </w:rPr>
        <w:t xml:space="preserve">23. Сведения об объектах незавершенного строительства, включенные в реестр незавершенных объектов капитального строительства, предоставляются по запросам заинтересованных гла</w:t>
      </w:r>
      <w:r>
        <w:rPr>
          <w:sz w:val="24"/>
        </w:rPr>
        <w:t xml:space="preserve">вных распорядителей бюджетных средств, федеральных органов исполнительной власти, исполнительных органов Оренбургской области, органов местного самоуправления муниципальных образований Оренбургской области посредством предоставления уполномоченным органом </w:t>
      </w:r>
      <w:hyperlink w:tooltip="Выписка" w:anchor="P315" w:history="1">
        <w:r>
          <w:rPr>
            <w:color w:val="0000ff"/>
            <w:sz w:val="24"/>
          </w:rPr>
          <w:t xml:space="preserve">выписки</w:t>
        </w:r>
      </w:hyperlink>
      <w:r>
        <w:rPr>
          <w:sz w:val="24"/>
        </w:rPr>
        <w:t xml:space="preserve"> из реестра незавершенных объектов капиталь</w:t>
      </w:r>
      <w:r>
        <w:rPr>
          <w:sz w:val="24"/>
        </w:rPr>
        <w:t xml:space="preserve">ного строительства по форме согласно приложению N 2 к настоящему Положению или информации об отсутствии в реестре незавершенных объектов капитального строительства сведений об объекте незавершенного строительства, заверенной усиленной квалифицированной эле</w:t>
      </w:r>
      <w:r>
        <w:rPr>
          <w:sz w:val="24"/>
        </w:rPr>
        <w:t xml:space="preserve">ктронной подписью уполномоченного должностного лица, с использованием системы электронного документооборота (при отсутствии технической возможности - заверенной подписью уполномоченного должностного лица) в течение 20 рабочих дней со дня получения запроса.</w:t>
      </w:r>
      <w:r/>
    </w:p>
    <w:p>
      <w:pPr>
        <w:pStyle w:val="1636"/>
        <w:jc w:val="both"/>
      </w:pPr>
      <w:r>
        <w:rPr>
          <w:sz w:val="24"/>
        </w:rPr>
        <w:t xml:space="preserve">(в ред. </w:t>
      </w:r>
      <w:hyperlink r:id="rId38" w:tooltip="Постановление Правительства Оренбургской области от 18.04.2025 N 332-пп &quot;О внесении изменений в постановления Правительства Оренбургской области от 14.03.2023 N 234-пп, от 20.06.2023 N 537-пп&quot; (вместе со &quot;Сведениями об объектах незавершенного строительства&quot;, &quot;Информацией о принятом (принятых) управленческом решении (управленческих решениях) в отношении объекта (объектов) незавершенного строительства, включенного (включенных) в региональный реестр незавершенных объектов капитального строительства Оренбургско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Оренбургской области от 18.04.2025 N 332-пп)</w:t>
      </w:r>
      <w:r/>
    </w:p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jc w:val="right"/>
        <w:outlineLvl w:val="1"/>
      </w:pPr>
      <w:r>
        <w:rPr>
          <w:sz w:val="24"/>
        </w:rPr>
        <w:t xml:space="preserve">Приложение 1</w:t>
      </w:r>
      <w:r/>
    </w:p>
    <w:p>
      <w:pPr>
        <w:pStyle w:val="1636"/>
        <w:jc w:val="right"/>
      </w:pPr>
      <w:r>
        <w:rPr>
          <w:sz w:val="24"/>
        </w:rPr>
        <w:t xml:space="preserve">к Положению</w:t>
      </w:r>
      <w:r/>
    </w:p>
    <w:p>
      <w:pPr>
        <w:pStyle w:val="1636"/>
        <w:jc w:val="right"/>
      </w:pPr>
      <w:r>
        <w:rPr>
          <w:sz w:val="24"/>
        </w:rPr>
        <w:t xml:space="preserve">о порядке формирования</w:t>
      </w:r>
      <w:r/>
    </w:p>
    <w:p>
      <w:pPr>
        <w:pStyle w:val="1636"/>
        <w:jc w:val="right"/>
      </w:pPr>
      <w:r>
        <w:rPr>
          <w:sz w:val="24"/>
        </w:rPr>
        <w:t xml:space="preserve">и ведения регионального реестра</w:t>
      </w:r>
      <w:r/>
    </w:p>
    <w:p>
      <w:pPr>
        <w:pStyle w:val="1636"/>
        <w:jc w:val="right"/>
      </w:pPr>
      <w:r>
        <w:rPr>
          <w:sz w:val="24"/>
        </w:rPr>
        <w:t xml:space="preserve">незавершенных объектов капитального</w:t>
      </w:r>
      <w:r/>
    </w:p>
    <w:p>
      <w:pPr>
        <w:pStyle w:val="1636"/>
        <w:jc w:val="right"/>
      </w:pPr>
      <w:r>
        <w:rPr>
          <w:sz w:val="24"/>
        </w:rPr>
        <w:t xml:space="preserve">строительства Оренбургской области,</w:t>
      </w:r>
      <w:r/>
    </w:p>
    <w:p>
      <w:pPr>
        <w:pStyle w:val="1636"/>
        <w:jc w:val="right"/>
      </w:pPr>
      <w:r>
        <w:rPr>
          <w:sz w:val="24"/>
        </w:rPr>
        <w:t xml:space="preserve">составе включаемых в него сведений</w:t>
      </w:r>
      <w:r/>
    </w:p>
    <w:p>
      <w:pPr>
        <w:pStyle w:val="1636"/>
        <w:jc w:val="right"/>
      </w:pPr>
      <w:r>
        <w:rPr>
          <w:sz w:val="24"/>
        </w:rPr>
        <w:t xml:space="preserve">и порядке представления таких сведений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636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hyperlink r:id="rId39" w:tooltip="Постановление Правительства Оренбургской области от 18.04.2025 N 332-пп &quot;О внесении изменений в постановления Правительства Оренбургской области от 14.03.2023 N 234-пп, от 20.06.2023 N 537-пп&quot; (вместе со &quot;Сведениями об объектах незавершенного строительства&quot;, &quot;Информацией о принятом (принятых) управленческом решении (управленческих решениях) в отношении объекта (объектов) незавершенного строительства, включенного (включенных) в региональный реестр незавершенных объектов капитального строительства Оренбургско {КонсультантПлюс}" w:history="1">
              <w:r>
                <w:rPr>
                  <w:color w:val="0000ff"/>
                  <w:sz w:val="24"/>
                </w:rPr>
                <w:t xml:space="preserve"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Оренбургской области</w:t>
            </w:r>
            <w:r/>
          </w:p>
          <w:p>
            <w:pPr>
              <w:pStyle w:val="1636"/>
              <w:jc w:val="center"/>
            </w:pPr>
            <w:r>
              <w:rPr>
                <w:color w:val="392c69"/>
                <w:sz w:val="24"/>
              </w:rPr>
              <w:t xml:space="preserve">от 18.04.2025 N 332-пп)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jc w:val="center"/>
      </w:pPr>
      <w:r/>
      <w:bookmarkStart w:id="104" w:name="P104"/>
      <w:r/>
      <w:bookmarkEnd w:id="104"/>
      <w:r>
        <w:rPr>
          <w:sz w:val="24"/>
        </w:rPr>
        <w:t xml:space="preserve">Сведения</w:t>
      </w:r>
      <w:r/>
    </w:p>
    <w:p>
      <w:pPr>
        <w:pStyle w:val="1636"/>
        <w:jc w:val="center"/>
      </w:pPr>
      <w:r>
        <w:rPr>
          <w:sz w:val="24"/>
        </w:rPr>
        <w:t xml:space="preserve">об объектах незавершенного строительства</w:t>
      </w:r>
      <w:r/>
    </w:p>
    <w:p>
      <w:pPr>
        <w:pStyle w:val="1636"/>
        <w:jc w:val="both"/>
      </w:pPr>
      <w:r>
        <w:rPr>
          <w:sz w:val="24"/>
        </w:rPr>
      </w:r>
      <w:r/>
    </w:p>
    <w:p>
      <w:pPr>
        <w:sectPr>
          <w:headerReference w:type="default" r:id="rId8"/>
          <w:headerReference w:type="first" r:id="rId9"/>
          <w:footerReference w:type="default" r:id="rId18"/>
          <w:footerReference w:type="first" r:id="rId19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708" w:equalWidth="1"/>
          <w:docGrid w:linePitch="360"/>
          <w:titlePg/>
        </w:sectPr>
      </w:pP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84"/>
        <w:gridCol w:w="1740"/>
        <w:gridCol w:w="2115"/>
        <w:gridCol w:w="1417"/>
        <w:gridCol w:w="2154"/>
        <w:gridCol w:w="2098"/>
        <w:gridCol w:w="2098"/>
      </w:tblGrid>
      <w:tr>
        <w:tblPrEx/>
        <w:trPr/>
        <w:tc>
          <w:tcPr>
            <w:gridSpan w:val="3"/>
            <w:tcW w:w="5839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Учетный номер объекта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Учетный номер объекта согласно </w:t>
            </w:r>
            <w:hyperlink r:id="rId40" w:tooltip="Приказ Минфина России от 28.12.2010 N 191н (ред. от 30.09.2024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те России 03.02.2011 N 19693) {КонсультантПлюс}" w:history="1">
              <w:r>
                <w:rPr>
                  <w:color w:val="0000ff"/>
                  <w:sz w:val="24"/>
                </w:rPr>
                <w:t xml:space="preserve">форме 0503190</w:t>
              </w:r>
            </w:hyperlink>
            <w:r>
              <w:rPr>
                <w:sz w:val="24"/>
              </w:rPr>
              <w:t xml:space="preserve"> </w:t>
            </w:r>
            <w:hyperlink r:id="rId41" w:tooltip="Приказ Минфина России от 25.03.2011 N 33н (ред. от 30.09.2024) &quot;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&quot; (Зарегистрировано в Минюсте России 22.04.2011 N 20558) (с изм. и доп., вступ. в силу с 01.01.2025) {КонсультантПлюс}" w:history="1">
              <w:r>
                <w:rPr>
                  <w:color w:val="0000ff"/>
                  <w:sz w:val="24"/>
                </w:rPr>
                <w:t xml:space="preserve">(0503790)</w:t>
              </w:r>
            </w:hyperlink>
            <w:r/>
            <w:r/>
          </w:p>
        </w:tc>
        <w:tc>
          <w:tcPr>
            <w:tcW w:w="2154" w:type="dxa"/>
            <w:vMerge w:val="restart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Основание для включения в региональный реестр незавершенных объектов капитального строительства Оренбургской области</w:t>
            </w:r>
            <w:r/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Дата включения (внесения изменений) в региональный реестр незавершенных объектов капитального строительства Оренбургской области</w:t>
            </w:r>
            <w:r/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Информация о включении мероприятия в план мероприятий по снижению количества объектов незавершенного строительства (реквизиты правового акта)</w:t>
            </w:r>
            <w:r/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код главного распорядителя средств областного (местного) бюджета</w:t>
            </w:r>
            <w:r/>
          </w:p>
        </w:tc>
        <w:tc>
          <w:tcPr>
            <w:tcW w:w="174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уникальный номер реестровой записи участника бюджетного процесса</w:t>
            </w:r>
            <w:r/>
          </w:p>
        </w:tc>
        <w:tc>
          <w:tcPr>
            <w:tcW w:w="2115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порядковый номер объекта незавершенного строительства, присваиваемый в соответствии со сквозной нумерацией </w:t>
            </w:r>
            <w:hyperlink w:tooltip="&lt;*&gt; Не заполняется при представлении сведений об объектах незавершенного строительства." w:anchor="P29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174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2115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20"/>
          <w:footerReference w:type="first" r:id="rId21"/>
          <w:footnotePr/>
          <w:endnotePr/>
          <w:type w:val="nextPage"/>
          <w:pgSz w:w="16838" w:h="11906" w:orient="landscape"/>
          <w:pgMar w:top="1133" w:right="1440" w:bottom="566" w:left="1440" w:header="0" w:footer="0" w:gutter="0"/>
          <w:cols w:num="1" w:sep="0" w:space="708" w:equalWidth="1"/>
          <w:docGrid w:linePitch="360"/>
          <w:titlePg/>
        </w:sectPr>
      </w:pPr>
      <w:r/>
      <w:r/>
    </w:p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jc w:val="right"/>
        <w:outlineLvl w:val="2"/>
      </w:pPr>
      <w:r>
        <w:rPr>
          <w:sz w:val="24"/>
        </w:rPr>
        <w:t xml:space="preserve">Продолжение таблицы</w:t>
      </w:r>
      <w:r/>
    </w:p>
    <w:p>
      <w:pPr>
        <w:pStyle w:val="163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005"/>
        <w:gridCol w:w="3118"/>
        <w:gridCol w:w="2948"/>
      </w:tblGrid>
      <w:tr>
        <w:tblPrEx/>
        <w:trPr/>
        <w:tc>
          <w:tcPr>
            <w:tcW w:w="3005" w:type="dxa"/>
            <w:vMerge w:val="restart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Наименование объекта незавершенного строительства согласно </w:t>
            </w:r>
            <w:hyperlink r:id="rId42" w:tooltip="Приказ Минфина России от 28.12.2010 N 191н (ред. от 30.09.2024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те России 03.02.2011 N 19693) {КонсультантПлюс}" w:history="1">
              <w:r>
                <w:rPr>
                  <w:color w:val="0000ff"/>
                  <w:sz w:val="24"/>
                </w:rPr>
                <w:t xml:space="preserve">форме 0503190</w:t>
              </w:r>
            </w:hyperlink>
            <w:r>
              <w:rPr>
                <w:sz w:val="24"/>
              </w:rPr>
              <w:t xml:space="preserve"> </w:t>
            </w:r>
            <w:hyperlink r:id="rId43" w:tooltip="Приказ Минфина России от 25.03.2011 N 33н (ред. от 30.09.2024) &quot;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&quot; (Зарегистрировано в Минюсте России 22.04.2011 N 20558) (с изм. и доп., вступ. в силу с 01.01.2025) {КонсультантПлюс}" w:history="1">
              <w:r>
                <w:rPr>
                  <w:color w:val="0000ff"/>
                  <w:sz w:val="24"/>
                </w:rPr>
                <w:t xml:space="preserve">(0503790)</w:t>
              </w:r>
            </w:hyperlink>
            <w:r/>
            <w:r/>
          </w:p>
        </w:tc>
        <w:tc>
          <w:tcPr>
            <w:gridSpan w:val="2"/>
            <w:tcW w:w="6066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Фактическое расположение или планируемое расположение объекта незавершенного строительства (полностью)</w:t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адрес (местонахождение) объекта</w:t>
            </w:r>
            <w:r/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кадастровый номер объекта (при наличии)</w:t>
            </w:r>
            <w:r/>
          </w:p>
        </w:tc>
      </w:tr>
      <w:tr>
        <w:tblPrEx/>
        <w:trPr/>
        <w:tc>
          <w:tcPr>
            <w:tcW w:w="3005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8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9</w:t>
            </w:r>
            <w:r/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10</w:t>
            </w:r>
            <w:r/>
          </w:p>
        </w:tc>
      </w:tr>
    </w:tbl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jc w:val="right"/>
        <w:outlineLvl w:val="2"/>
      </w:pPr>
      <w:r>
        <w:rPr>
          <w:sz w:val="24"/>
        </w:rPr>
        <w:t xml:space="preserve">Продолжение таблицы</w:t>
      </w:r>
      <w:r/>
    </w:p>
    <w:p>
      <w:pPr>
        <w:pStyle w:val="1636"/>
        <w:jc w:val="both"/>
      </w:pPr>
      <w:r>
        <w:rPr>
          <w:sz w:val="24"/>
        </w:rPr>
      </w:r>
      <w:r/>
    </w:p>
    <w:p>
      <w:pPr>
        <w:sectPr>
          <w:headerReference w:type="default" r:id="rId12"/>
          <w:headerReference w:type="first" r:id="rId13"/>
          <w:footerReference w:type="default" r:id="rId22"/>
          <w:footerReference w:type="first" r:id="rId23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708" w:equalWidth="1"/>
          <w:docGrid w:linePitch="360"/>
          <w:titlePg/>
        </w:sectPr>
      </w:pPr>
      <w:r/>
      <w:r/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154"/>
        <w:gridCol w:w="2721"/>
        <w:gridCol w:w="2608"/>
        <w:gridCol w:w="2324"/>
        <w:gridCol w:w="2211"/>
        <w:gridCol w:w="2211"/>
        <w:gridCol w:w="1474"/>
        <w:gridCol w:w="1232"/>
      </w:tblGrid>
      <w:tr>
        <w:tblPrEx/>
        <w:trPr/>
        <w:tc>
          <w:tcPr>
            <w:gridSpan w:val="8"/>
            <w:tcW w:w="16935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Характеристика незавершенных объектов капитального строительства</w:t>
            </w:r>
            <w:r/>
          </w:p>
        </w:tc>
      </w:tr>
      <w:tr>
        <w:tblPrEx/>
        <w:trPr/>
        <w:tc>
          <w:tcPr>
            <w:tcW w:w="2154" w:type="dxa"/>
            <w:vMerge w:val="restart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причины приостановления строительства</w:t>
            </w:r>
            <w:r/>
          </w:p>
        </w:tc>
        <w:tc>
          <w:tcPr>
            <w:tcW w:w="2721" w:type="dxa"/>
            <w:vMerge w:val="restart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наименование заказчика (заказчиков), правообладателя (правообладателей), балансодержателя (балансодержателей)</w:t>
            </w:r>
            <w:r/>
          </w:p>
        </w:tc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идентификационный номер налогоплательщика заказчика (заказчиков), правообладателя (правообладателей), балансодержателя (балансодержателей)</w:t>
            </w:r>
            <w:r/>
          </w:p>
        </w:tc>
        <w:tc>
          <w:tcPr>
            <w:tcW w:w="2324" w:type="dxa"/>
            <w:vMerge w:val="restart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реквизиты государственного (муниципального) контракта</w:t>
            </w:r>
            <w:r/>
          </w:p>
        </w:tc>
        <w:tc>
          <w:tcPr>
            <w:tcW w:w="2211" w:type="dxa"/>
            <w:vMerge w:val="restart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правообладатель земельного участка, на котором расположен незавершенный объект капитального строительства</w:t>
            </w:r>
            <w:r/>
          </w:p>
        </w:tc>
        <w:tc>
          <w:tcPr>
            <w:tcW w:w="2211" w:type="dxa"/>
            <w:vMerge w:val="restart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наименование проекта (программы), реализуемого (реализуемой) на территории Оренбургской области</w:t>
            </w:r>
            <w:r/>
          </w:p>
        </w:tc>
        <w:tc>
          <w:tcPr>
            <w:gridSpan w:val="2"/>
            <w:tcW w:w="2706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мощность объекта</w:t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единица измерения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значение</w:t>
            </w:r>
            <w:r/>
          </w:p>
        </w:tc>
      </w:tr>
      <w:tr>
        <w:tblPrEx/>
        <w:trPr/>
        <w:tc>
          <w:tcPr>
            <w:tcW w:w="215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11</w:t>
            </w:r>
            <w:r/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12</w:t>
            </w:r>
            <w:r/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13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14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15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16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17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18</w:t>
            </w:r>
            <w:r/>
          </w:p>
        </w:tc>
      </w:tr>
    </w:tbl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jc w:val="right"/>
        <w:outlineLvl w:val="2"/>
      </w:pPr>
      <w:r>
        <w:rPr>
          <w:sz w:val="24"/>
        </w:rPr>
        <w:t xml:space="preserve">Продолжение таблицы</w:t>
      </w:r>
      <w:r/>
    </w:p>
    <w:p>
      <w:pPr>
        <w:pStyle w:val="163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57"/>
        <w:gridCol w:w="4195"/>
        <w:gridCol w:w="1928"/>
        <w:gridCol w:w="2891"/>
        <w:gridCol w:w="2835"/>
      </w:tblGrid>
      <w:tr>
        <w:tblPrEx/>
        <w:trPr/>
        <w:tc>
          <w:tcPr>
            <w:gridSpan w:val="5"/>
            <w:tcW w:w="13606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Статус проектной документации</w:t>
            </w:r>
            <w:r/>
          </w:p>
        </w:tc>
      </w:tr>
      <w:tr>
        <w:tblPrEx/>
        <w:trPr/>
        <w:tc>
          <w:tcPr>
            <w:tcW w:w="1757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наличие проектной документации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функциональная зона согласно документам территориального планирования муниципальных образований (жилая зона, общественно-деловая зона, производственная зона, зона инженерной и транспортной инфраструктур, зона специального назначения, иная зона)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наличие и реквизиты проекта планировки территории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документ, в соответствии с которым установлены расходные обязательства (для начала проектирования (строительства) объекта капитального строительства)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дата и номер положительного заключения государственной экспертизы проектной документации объекта капитального строительства (при наличии)</w:t>
            </w:r>
            <w:r/>
          </w:p>
        </w:tc>
      </w:tr>
      <w:tr>
        <w:tblPrEx/>
        <w:trPr/>
        <w:tc>
          <w:tcPr>
            <w:tcW w:w="1757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19</w:t>
            </w:r>
            <w:r/>
          </w:p>
        </w:tc>
        <w:tc>
          <w:tcPr>
            <w:tcW w:w="4195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20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21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22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23</w:t>
            </w:r>
            <w:r/>
          </w:p>
        </w:tc>
      </w:tr>
    </w:tbl>
    <w:p>
      <w:pPr>
        <w:pStyle w:val="1636"/>
        <w:jc w:val="both"/>
      </w:pPr>
      <w:r>
        <w:rPr>
          <w:sz w:val="24"/>
        </w:rPr>
      </w:r>
      <w:r/>
    </w:p>
    <w:p>
      <w:pPr>
        <w:jc w:val="right"/>
        <w:outlineLvl w:val="2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2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2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2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2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2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2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2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1636"/>
        <w:jc w:val="right"/>
        <w:rPr>
          <w:sz w:val="24"/>
          <w:szCs w:val="24"/>
          <w:highlight w:val="none"/>
        </w:rPr>
        <w:outlineLvl w:val="2"/>
      </w:pPr>
      <w:r>
        <w:rPr>
          <w:sz w:val="24"/>
        </w:rPr>
        <w:t xml:space="preserve">Продолжение таблицы</w:t>
      </w:r>
      <w:r/>
    </w:p>
    <w:p>
      <w:pPr>
        <w:pStyle w:val="163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551"/>
        <w:gridCol w:w="2835"/>
        <w:gridCol w:w="2268"/>
        <w:gridCol w:w="2891"/>
        <w:gridCol w:w="3061"/>
      </w:tblGrid>
      <w:tr>
        <w:tblPrEx/>
        <w:trPr/>
        <w:tc>
          <w:tcPr>
            <w:gridSpan w:val="2"/>
            <w:tcW w:w="5386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Статус исходно-разрешительной документации</w:t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Наличие исполнительной документации</w:t>
            </w:r>
            <w:r/>
          </w:p>
        </w:tc>
        <w:tc>
          <w:tcPr>
            <w:gridSpan w:val="2"/>
            <w:tcW w:w="5952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Проведение обследования</w:t>
            </w:r>
            <w:r/>
          </w:p>
        </w:tc>
      </w:tr>
      <w:tr>
        <w:tblPrEx/>
        <w:trPr/>
        <w:tc>
          <w:tcPr>
            <w:tcW w:w="255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наличие разрешения на строительство (номер, дата)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срок действия разрешения на строительство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дата последнего обследования незавершенного объекта капитального строительства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стоимость проведения обследований (в текущих ценах) фактическая или необходимая (рублей)</w:t>
            </w:r>
            <w:r/>
          </w:p>
        </w:tc>
      </w:tr>
      <w:tr>
        <w:tblPrEx/>
        <w:trPr/>
        <w:tc>
          <w:tcPr>
            <w:tcW w:w="255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24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25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26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27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28</w:t>
            </w:r>
            <w:r/>
          </w:p>
        </w:tc>
      </w:tr>
    </w:tbl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jc w:val="right"/>
        <w:outlineLvl w:val="2"/>
      </w:pPr>
      <w:r>
        <w:rPr>
          <w:sz w:val="24"/>
        </w:rPr>
        <w:t xml:space="preserve">Продолжение таблицы</w:t>
      </w:r>
      <w:r/>
    </w:p>
    <w:p>
      <w:pPr>
        <w:pStyle w:val="1636"/>
        <w:jc w:val="both"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28"/>
        <w:gridCol w:w="2324"/>
        <w:gridCol w:w="1814"/>
        <w:gridCol w:w="1304"/>
        <w:gridCol w:w="2381"/>
        <w:gridCol w:w="2268"/>
        <w:gridCol w:w="2154"/>
        <w:gridCol w:w="2154"/>
      </w:tblGrid>
      <w:tr>
        <w:tblPrEx/>
        <w:trPr/>
        <w:tc>
          <w:tcPr>
            <w:gridSpan w:val="7"/>
            <w:tcW w:w="14173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Приостановление (прекращение) строительства</w:t>
            </w:r>
            <w:r/>
          </w:p>
        </w:tc>
        <w:tc>
          <w:tcPr>
            <w:tcW w:w="2154" w:type="dxa"/>
            <w:vMerge w:val="restart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Проблемные моменты</w:t>
            </w:r>
            <w:r/>
          </w:p>
          <w:p>
            <w:pPr>
              <w:pStyle w:val="1636"/>
              <w:jc w:val="center"/>
            </w:pPr>
            <w:r>
              <w:rPr>
                <w:sz w:val="24"/>
              </w:rPr>
              <w:t xml:space="preserve">(наличие уголовных дел (номер, дата, статус), наличие претензий от заказчика или подрядчика (значимой информации, необходимой для принятия решения о завершении строительства или списании объекта)</w:t>
            </w:r>
            <w:r/>
          </w:p>
        </w:tc>
      </w:tr>
      <w:tr>
        <w:tblPrEx/>
        <w:trPr/>
        <w:tc>
          <w:tcPr>
            <w:tcW w:w="1928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год фактического начала строительства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год фактического приостановления (прекращения) строительства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степень строительной готовности</w:t>
            </w:r>
            <w:r/>
          </w:p>
          <w:p>
            <w:pPr>
              <w:pStyle w:val="1636"/>
              <w:jc w:val="center"/>
            </w:pPr>
            <w:r>
              <w:rPr>
                <w:sz w:val="24"/>
              </w:rPr>
              <w:t xml:space="preserve">(процентов)</w:t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срок простоя объекта</w:t>
            </w:r>
            <w:r/>
          </w:p>
          <w:p>
            <w:pPr>
              <w:pStyle w:val="1636"/>
              <w:jc w:val="center"/>
            </w:pPr>
            <w:r>
              <w:rPr>
                <w:sz w:val="24"/>
              </w:rPr>
              <w:t xml:space="preserve">(лет, месяцев)</w:t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предполагаемый срок окончания строительства</w:t>
            </w:r>
            <w:r/>
          </w:p>
          <w:p>
            <w:pPr>
              <w:pStyle w:val="1636"/>
              <w:jc w:val="center"/>
            </w:pPr>
            <w:r>
              <w:rPr>
                <w:sz w:val="24"/>
              </w:rPr>
              <w:t xml:space="preserve">(год, месяц)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предполагаемый срок ввода объекта в эксплуатацию</w:t>
            </w:r>
            <w:r/>
          </w:p>
          <w:p>
            <w:pPr>
              <w:pStyle w:val="1636"/>
              <w:jc w:val="center"/>
            </w:pPr>
            <w:r>
              <w:rPr>
                <w:sz w:val="24"/>
              </w:rPr>
              <w:t xml:space="preserve">(год, месяц)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статус строительства объекта на отчетную дату</w:t>
            </w:r>
            <w:r/>
          </w:p>
          <w:p>
            <w:pPr>
              <w:pStyle w:val="1636"/>
              <w:jc w:val="center"/>
            </w:pPr>
            <w:r>
              <w:rPr>
                <w:sz w:val="24"/>
              </w:rPr>
              <w:t xml:space="preserve">(ведется, приостановлено, завершено)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928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29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30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31</w:t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32</w:t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33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34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35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36</w:t>
            </w:r>
            <w:r/>
          </w:p>
        </w:tc>
      </w:tr>
    </w:tbl>
    <w:p>
      <w:pPr>
        <w:pStyle w:val="1636"/>
        <w:jc w:val="both"/>
      </w:pPr>
      <w:r>
        <w:rPr>
          <w:sz w:val="24"/>
        </w:rPr>
      </w:r>
      <w:r/>
    </w:p>
    <w:p>
      <w:pPr>
        <w:jc w:val="right"/>
        <w:outlineLvl w:val="2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2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2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2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2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1636"/>
        <w:jc w:val="right"/>
        <w:rPr>
          <w:sz w:val="24"/>
          <w:szCs w:val="24"/>
          <w:highlight w:val="none"/>
        </w:rPr>
        <w:outlineLvl w:val="2"/>
      </w:pPr>
      <w:r>
        <w:rPr>
          <w:sz w:val="24"/>
        </w:rPr>
        <w:t xml:space="preserve">Продолжение таблицы</w:t>
      </w:r>
      <w:r/>
    </w:p>
    <w:p>
      <w:pPr>
        <w:pStyle w:val="1636"/>
        <w:jc w:val="both"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28"/>
        <w:gridCol w:w="1644"/>
        <w:gridCol w:w="2268"/>
        <w:gridCol w:w="1134"/>
        <w:gridCol w:w="1587"/>
        <w:gridCol w:w="2154"/>
        <w:gridCol w:w="1191"/>
        <w:gridCol w:w="1531"/>
        <w:gridCol w:w="1644"/>
        <w:gridCol w:w="1134"/>
        <w:gridCol w:w="2268"/>
        <w:gridCol w:w="2268"/>
        <w:gridCol w:w="2041"/>
      </w:tblGrid>
      <w:tr>
        <w:tblPrEx/>
        <w:trPr/>
        <w:tc>
          <w:tcPr>
            <w:gridSpan w:val="13"/>
            <w:tcW w:w="22792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Финансовая характеристика</w:t>
            </w:r>
            <w:r/>
          </w:p>
        </w:tc>
      </w:tr>
      <w:tr>
        <w:tblPrEx/>
        <w:trPr/>
        <w:tc>
          <w:tcPr>
            <w:gridSpan w:val="3"/>
            <w:tcW w:w="584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общая сметная стоимость объекта на дату начала строительства</w:t>
            </w:r>
            <w:r/>
          </w:p>
        </w:tc>
        <w:tc>
          <w:tcPr>
            <w:gridSpan w:val="2"/>
            <w:tcW w:w="272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сумма капитальных вложений в объект за время строительства (в ценах соответствующих лет)</w:t>
            </w:r>
            <w:r/>
          </w:p>
          <w:p>
            <w:pPr>
              <w:pStyle w:val="1636"/>
              <w:jc w:val="center"/>
            </w:pPr>
            <w:r>
              <w:rPr>
                <w:sz w:val="24"/>
              </w:rPr>
              <w:t xml:space="preserve">(рублей)</w:t>
            </w:r>
            <w:r/>
          </w:p>
        </w:tc>
        <w:tc>
          <w:tcPr>
            <w:tcW w:w="2154" w:type="dxa"/>
            <w:vMerge w:val="restart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остаток сметной стоимости (в ценах соответствующих лет)</w:t>
            </w:r>
            <w:r/>
          </w:p>
          <w:p>
            <w:pPr>
              <w:pStyle w:val="1636"/>
              <w:jc w:val="center"/>
            </w:pPr>
            <w:r>
              <w:rPr>
                <w:sz w:val="24"/>
              </w:rPr>
              <w:t xml:space="preserve">(рублей)</w:t>
            </w:r>
            <w:r/>
          </w:p>
        </w:tc>
        <w:tc>
          <w:tcPr>
            <w:gridSpan w:val="4"/>
            <w:tcW w:w="550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фактические расходы по счету 0106X1000</w:t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объем средств, предусмотренный в плане мероприятий по снижению количества объектов незавершенного строительства</w:t>
            </w:r>
            <w:r/>
          </w:p>
          <w:p>
            <w:pPr>
              <w:pStyle w:val="1636"/>
              <w:jc w:val="center"/>
            </w:pPr>
            <w:r>
              <w:rPr>
                <w:sz w:val="24"/>
              </w:rPr>
              <w:t xml:space="preserve">(рублей)</w:t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сумма дополнительного финансирования, необходимая для завершения строительства, на дату включения (внесения изменений) в региональный реестр незавершенных объектов капитального строительства Оренбургской области</w:t>
            </w:r>
            <w:r/>
          </w:p>
          <w:p>
            <w:pPr>
              <w:pStyle w:val="1636"/>
              <w:jc w:val="center"/>
            </w:pPr>
            <w:r>
              <w:rPr>
                <w:sz w:val="24"/>
              </w:rPr>
              <w:t xml:space="preserve">(рублей)</w:t>
            </w:r>
            <w:r/>
          </w:p>
        </w:tc>
        <w:tc>
          <w:tcPr>
            <w:tcW w:w="2041" w:type="dxa"/>
            <w:vMerge w:val="restart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из них за счет средств областного (местного) бюджета на дату включения (внесения изменений) в региональный реестр незавершенных объектов капитального строительства Оренбургской области</w:t>
            </w:r>
            <w:r/>
          </w:p>
          <w:p>
            <w:pPr>
              <w:pStyle w:val="1636"/>
              <w:jc w:val="center"/>
            </w:pPr>
            <w:r>
              <w:rPr>
                <w:sz w:val="24"/>
              </w:rPr>
              <w:t xml:space="preserve">(рублей)</w:t>
            </w:r>
            <w:r/>
          </w:p>
        </w:tc>
      </w:tr>
      <w:tr>
        <w:tblPrEx/>
        <w:trPr/>
        <w:tc>
          <w:tcPr>
            <w:tcW w:w="1928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в соответствии с утвержденной проектной документацией</w:t>
            </w:r>
            <w:r/>
          </w:p>
          <w:p>
            <w:pPr>
              <w:pStyle w:val="1636"/>
              <w:jc w:val="center"/>
            </w:pPr>
            <w:r>
              <w:rPr>
                <w:sz w:val="24"/>
              </w:rPr>
              <w:t xml:space="preserve">(рублей)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год, в ценах которого определена стоимость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в ценах соответствующих лет</w:t>
            </w:r>
            <w:r/>
          </w:p>
          <w:p>
            <w:pPr>
              <w:pStyle w:val="1636"/>
              <w:jc w:val="center"/>
            </w:pPr>
            <w:r>
              <w:rPr>
                <w:sz w:val="24"/>
              </w:rPr>
              <w:t xml:space="preserve">(рублей)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  <w:p>
            <w:pPr>
              <w:pStyle w:val="1636"/>
              <w:jc w:val="center"/>
            </w:pPr>
            <w:r>
              <w:rPr>
                <w:sz w:val="24"/>
              </w:rPr>
              <w:t xml:space="preserve">(рублей)</w:t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из них за счет средств областного (местного) бюджета</w:t>
            </w:r>
            <w:r/>
          </w:p>
          <w:p>
            <w:pPr>
              <w:pStyle w:val="1636"/>
              <w:jc w:val="center"/>
            </w:pPr>
            <w:r>
              <w:rPr>
                <w:sz w:val="24"/>
              </w:rPr>
              <w:t xml:space="preserve">(рублей)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на начало года</w:t>
            </w:r>
            <w:r/>
          </w:p>
          <w:p>
            <w:pPr>
              <w:pStyle w:val="1636"/>
              <w:jc w:val="center"/>
            </w:pPr>
            <w:r>
              <w:rPr>
                <w:sz w:val="24"/>
              </w:rPr>
              <w:t xml:space="preserve">(рублей)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увеличение</w:t>
            </w:r>
            <w:r/>
          </w:p>
          <w:p>
            <w:pPr>
              <w:pStyle w:val="1636"/>
              <w:jc w:val="center"/>
            </w:pPr>
            <w:r>
              <w:rPr>
                <w:sz w:val="24"/>
              </w:rPr>
              <w:t xml:space="preserve">(рублей)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уменьшение</w:t>
            </w:r>
            <w:r/>
          </w:p>
          <w:p>
            <w:pPr>
              <w:pStyle w:val="1636"/>
              <w:jc w:val="center"/>
            </w:pPr>
            <w:r>
              <w:rPr>
                <w:sz w:val="24"/>
              </w:rPr>
              <w:t xml:space="preserve">(рублей)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на конец года</w:t>
            </w:r>
            <w:r/>
          </w:p>
          <w:p>
            <w:pPr>
              <w:pStyle w:val="1636"/>
              <w:jc w:val="center"/>
            </w:pPr>
            <w:r>
              <w:rPr>
                <w:sz w:val="24"/>
              </w:rPr>
              <w:t xml:space="preserve">(рублей)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928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37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38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40</w:t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41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42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43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44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46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47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48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49</w:t>
            </w:r>
            <w:r/>
          </w:p>
        </w:tc>
      </w:tr>
    </w:tbl>
    <w:p>
      <w:pPr>
        <w:pStyle w:val="1636"/>
        <w:jc w:val="both"/>
      </w:pPr>
      <w:r>
        <w:rPr>
          <w:sz w:val="24"/>
        </w:rPr>
      </w:r>
      <w:r/>
    </w:p>
    <w:p>
      <w:pPr>
        <w:jc w:val="right"/>
        <w:outlineLvl w:val="2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2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2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2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2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2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2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2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  <w:outlineLvl w:val="2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1636"/>
        <w:jc w:val="right"/>
        <w:rPr>
          <w:sz w:val="24"/>
          <w:szCs w:val="24"/>
          <w:highlight w:val="none"/>
        </w:rPr>
        <w:outlineLvl w:val="2"/>
      </w:pPr>
      <w:r>
        <w:rPr>
          <w:sz w:val="24"/>
        </w:rPr>
        <w:t xml:space="preserve">Продолжение таблицы</w:t>
      </w:r>
      <w:r/>
    </w:p>
    <w:p>
      <w:pPr>
        <w:pStyle w:val="1636"/>
        <w:jc w:val="both"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041"/>
        <w:gridCol w:w="1644"/>
        <w:gridCol w:w="1134"/>
        <w:gridCol w:w="1644"/>
        <w:gridCol w:w="1191"/>
        <w:gridCol w:w="1531"/>
        <w:gridCol w:w="1417"/>
        <w:gridCol w:w="1474"/>
        <w:gridCol w:w="1701"/>
        <w:gridCol w:w="2665"/>
        <w:gridCol w:w="1644"/>
        <w:gridCol w:w="2438"/>
        <w:gridCol w:w="1304"/>
        <w:gridCol w:w="1587"/>
        <w:gridCol w:w="1757"/>
      </w:tblGrid>
      <w:tr>
        <w:tblPrEx/>
        <w:trPr/>
        <w:tc>
          <w:tcPr>
            <w:gridSpan w:val="11"/>
            <w:tcW w:w="18086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Целевая функция (проблемные объекты)</w:t>
            </w:r>
            <w:r/>
          </w:p>
        </w:tc>
        <w:tc>
          <w:tcPr>
            <w:tcW w:w="2438" w:type="dxa"/>
            <w:vMerge w:val="restart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Источник финансирования, необходимого для завершения строительства</w:t>
            </w:r>
            <w:r/>
          </w:p>
        </w:tc>
        <w:tc>
          <w:tcPr>
            <w:tcW w:w="1304" w:type="dxa"/>
            <w:vMerge w:val="restart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Ссылка на фото объекта</w:t>
            </w:r>
            <w:r/>
          </w:p>
        </w:tc>
        <w:tc>
          <w:tcPr>
            <w:tcW w:w="1587" w:type="dxa"/>
            <w:vMerge w:val="restart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Контактное лицо для связи, номер телефона</w:t>
            </w:r>
            <w:r/>
          </w:p>
        </w:tc>
        <w:tc>
          <w:tcPr>
            <w:tcW w:w="1757" w:type="dxa"/>
            <w:vMerge w:val="restart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Примечание</w:t>
            </w:r>
            <w:r/>
          </w:p>
        </w:tc>
      </w:tr>
      <w:tr>
        <w:tblPrEx/>
        <w:trPr>
          <w:trHeight w:val="254"/>
        </w:trPr>
        <w:tc>
          <w:tcPr>
            <w:tcW w:w="2041" w:type="dxa"/>
            <w:vMerge w:val="restart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целевая функция, определенная главным распорядителем средств областного (местного) бюджета</w:t>
            </w:r>
            <w:r/>
          </w:p>
        </w:tc>
        <w:tc>
          <w:tcPr>
            <w:tcW w:w="1644" w:type="dxa"/>
            <w:vMerge w:val="restart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обоснование выбора целевой функции</w:t>
            </w:r>
            <w:r/>
          </w:p>
        </w:tc>
        <w:tc>
          <w:tcPr>
            <w:gridSpan w:val="2"/>
            <w:tcW w:w="2778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фактические расходы на реализацию целевой функции</w:t>
            </w:r>
            <w:r/>
          </w:p>
        </w:tc>
        <w:tc>
          <w:tcPr>
            <w:gridSpan w:val="2"/>
            <w:tcW w:w="2722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стоимость реализации целевой функции (с учетом всех расходов, необходимых для выполнения целевой функции)</w:t>
            </w:r>
            <w:r/>
          </w:p>
        </w:tc>
        <w:tc>
          <w:tcPr>
            <w:gridSpan w:val="3"/>
            <w:tcW w:w="4592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плановые сроки реализации инвестиционного проекта (срок завершения мероприятий по реализации целевой функции) (год, месяц)</w:t>
            </w:r>
            <w:r/>
          </w:p>
        </w:tc>
        <w:tc>
          <w:tcPr>
            <w:tcW w:w="2665" w:type="dxa"/>
            <w:vMerge w:val="restart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предполагаемый получатель (балансодержатель) объекта капитального строительства</w:t>
            </w:r>
            <w:r/>
          </w:p>
        </w:tc>
        <w:tc>
          <w:tcPr>
            <w:tcW w:w="1644" w:type="dxa"/>
            <w:vMerge w:val="restart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результат выполнения целевой функции на отчетную дату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  <w:p>
            <w:pPr>
              <w:pStyle w:val="1636"/>
              <w:jc w:val="center"/>
            </w:pPr>
            <w:r>
              <w:rPr>
                <w:sz w:val="24"/>
              </w:rPr>
              <w:t xml:space="preserve">(рублей)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в том числе из областного (местного) бюджета</w:t>
            </w:r>
            <w:r/>
          </w:p>
          <w:p>
            <w:pPr>
              <w:pStyle w:val="1636"/>
              <w:jc w:val="center"/>
            </w:pPr>
            <w:r>
              <w:rPr>
                <w:sz w:val="24"/>
              </w:rPr>
              <w:t xml:space="preserve">(рублей)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  <w:p>
            <w:pPr>
              <w:pStyle w:val="1636"/>
              <w:jc w:val="center"/>
            </w:pPr>
            <w:r>
              <w:rPr>
                <w:sz w:val="24"/>
              </w:rPr>
              <w:t xml:space="preserve">(рублей)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в том числе из областного (местного) бюджета</w:t>
            </w:r>
            <w:r/>
          </w:p>
          <w:p>
            <w:pPr>
              <w:pStyle w:val="1636"/>
              <w:jc w:val="center"/>
            </w:pPr>
            <w:r>
              <w:rPr>
                <w:sz w:val="24"/>
              </w:rPr>
              <w:t xml:space="preserve">(рублей)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начало реализации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окончание реализации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планируемая дата реализации целевой функции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204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50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52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53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54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56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57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58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59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60</w:t>
            </w:r>
            <w:r/>
          </w:p>
        </w:tc>
        <w:tc>
          <w:tcPr>
            <w:tcW w:w="2438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61</w:t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62</w:t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63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64</w:t>
            </w:r>
            <w:r/>
          </w:p>
        </w:tc>
      </w:tr>
    </w:tbl>
    <w:p>
      <w:pPr>
        <w:sectPr>
          <w:headerReference w:type="default" r:id="rId14"/>
          <w:headerReference w:type="first" r:id="rId15"/>
          <w:footerReference w:type="default" r:id="rId24"/>
          <w:footerReference w:type="first" r:id="rId25"/>
          <w:footnotePr/>
          <w:endnotePr/>
          <w:type w:val="nextPage"/>
          <w:pgSz w:w="16838" w:h="11906" w:orient="landscape"/>
          <w:pgMar w:top="1133" w:right="397" w:bottom="566" w:left="397" w:header="0" w:footer="0" w:gutter="0"/>
          <w:cols w:num="1" w:sep="0" w:space="708" w:equalWidth="1"/>
          <w:docGrid w:linePitch="360"/>
          <w:titlePg/>
        </w:sectPr>
      </w:pPr>
      <w:r/>
      <w:r/>
    </w:p>
    <w:p>
      <w:pPr>
        <w:pStyle w:val="1636"/>
        <w:ind w:firstLine="540"/>
        <w:jc w:val="both"/>
      </w:pPr>
      <w:r>
        <w:rPr>
          <w:sz w:val="24"/>
        </w:rPr>
        <w:t xml:space="preserve">--------------------------------</w:t>
      </w:r>
      <w:r/>
    </w:p>
    <w:p>
      <w:pPr>
        <w:pStyle w:val="1636"/>
        <w:ind w:firstLine="540"/>
        <w:jc w:val="both"/>
        <w:spacing w:before="240"/>
      </w:pPr>
      <w:r/>
      <w:bookmarkStart w:id="297" w:name="P297"/>
      <w:r/>
      <w:bookmarkEnd w:id="297"/>
      <w:r>
        <w:rPr>
          <w:sz w:val="24"/>
        </w:rPr>
        <w:t xml:space="preserve">&lt;*&gt; Не заполняется при представлении сведений об объектах незавершенного строительства.</w:t>
      </w:r>
      <w:r/>
    </w:p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jc w:val="right"/>
        <w:outlineLvl w:val="1"/>
      </w:pPr>
      <w:r>
        <w:rPr>
          <w:sz w:val="24"/>
        </w:rPr>
        <w:t xml:space="preserve">Приложение 2</w:t>
      </w:r>
      <w:r/>
    </w:p>
    <w:p>
      <w:pPr>
        <w:pStyle w:val="1636"/>
        <w:jc w:val="right"/>
      </w:pPr>
      <w:r>
        <w:rPr>
          <w:sz w:val="24"/>
        </w:rPr>
        <w:t xml:space="preserve">к Положению</w:t>
      </w:r>
      <w:r/>
    </w:p>
    <w:p>
      <w:pPr>
        <w:pStyle w:val="1636"/>
        <w:jc w:val="right"/>
      </w:pPr>
      <w:r>
        <w:rPr>
          <w:sz w:val="24"/>
        </w:rPr>
        <w:t xml:space="preserve">о порядке формирования</w:t>
      </w:r>
      <w:r/>
    </w:p>
    <w:p>
      <w:pPr>
        <w:pStyle w:val="1636"/>
        <w:jc w:val="right"/>
      </w:pPr>
      <w:r>
        <w:rPr>
          <w:sz w:val="24"/>
        </w:rPr>
        <w:t xml:space="preserve">и ведения регионального реестра</w:t>
      </w:r>
      <w:r/>
    </w:p>
    <w:p>
      <w:pPr>
        <w:pStyle w:val="1636"/>
        <w:jc w:val="right"/>
      </w:pPr>
      <w:r>
        <w:rPr>
          <w:sz w:val="24"/>
        </w:rPr>
        <w:t xml:space="preserve">незавершенных объектов капитального</w:t>
      </w:r>
      <w:r/>
    </w:p>
    <w:p>
      <w:pPr>
        <w:pStyle w:val="1636"/>
        <w:jc w:val="right"/>
      </w:pPr>
      <w:r>
        <w:rPr>
          <w:sz w:val="24"/>
        </w:rPr>
        <w:t xml:space="preserve">строительства Оренбургской области,</w:t>
      </w:r>
      <w:r/>
    </w:p>
    <w:p>
      <w:pPr>
        <w:pStyle w:val="1636"/>
        <w:jc w:val="right"/>
      </w:pPr>
      <w:r>
        <w:rPr>
          <w:sz w:val="24"/>
        </w:rPr>
        <w:t xml:space="preserve">составе включаемых в него сведений</w:t>
      </w:r>
      <w:r/>
    </w:p>
    <w:p>
      <w:pPr>
        <w:pStyle w:val="1636"/>
        <w:jc w:val="right"/>
      </w:pPr>
      <w:r>
        <w:rPr>
          <w:sz w:val="24"/>
        </w:rPr>
        <w:t xml:space="preserve">и порядке представления таких сведений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636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hyperlink r:id="rId44" w:tooltip="Постановление Правительства Оренбургской области от 18.04.2025 N 332-пп &quot;О внесении изменений в постановления Правительства Оренбургской области от 14.03.2023 N 234-пп, от 20.06.2023 N 537-пп&quot; (вместе со &quot;Сведениями об объектах незавершенного строительства&quot;, &quot;Информацией о принятом (принятых) управленческом решении (управленческих решениях) в отношении объекта (объектов) незавершенного строительства, включенного (включенных) в региональный реестр незавершенных объектов капитального строительства Оренбургско {КонсультантПлюс}" w:history="1">
              <w:r>
                <w:rPr>
                  <w:color w:val="0000ff"/>
                  <w:sz w:val="24"/>
                </w:rPr>
                <w:t xml:space="preserve"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Оренбургской области</w:t>
            </w:r>
            <w:r/>
          </w:p>
          <w:p>
            <w:pPr>
              <w:pStyle w:val="1636"/>
              <w:jc w:val="center"/>
            </w:pPr>
            <w:r>
              <w:rPr>
                <w:color w:val="392c69"/>
                <w:sz w:val="24"/>
              </w:rPr>
              <w:t xml:space="preserve">от 18.04.2025 N 332-пп)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jc w:val="center"/>
      </w:pPr>
      <w:r/>
      <w:bookmarkStart w:id="315" w:name="P315"/>
      <w:r/>
      <w:bookmarkEnd w:id="315"/>
      <w:r>
        <w:rPr>
          <w:sz w:val="24"/>
        </w:rPr>
        <w:t xml:space="preserve">Выписка</w:t>
      </w:r>
      <w:r/>
    </w:p>
    <w:p>
      <w:pPr>
        <w:pStyle w:val="1636"/>
        <w:jc w:val="center"/>
      </w:pPr>
      <w:r>
        <w:rPr>
          <w:sz w:val="24"/>
        </w:rPr>
        <w:t xml:space="preserve">из реестра незавершенных объектов капитального строительства</w:t>
      </w:r>
      <w:r/>
    </w:p>
    <w:p>
      <w:pPr>
        <w:pStyle w:val="1636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0"/>
        <w:gridCol w:w="6350"/>
        <w:gridCol w:w="2041"/>
      </w:tblGrid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6350" w:type="dxa"/>
            <w:vAlign w:val="center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Наименование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Информация, содержащаяся в сведениях о незавершенных объектах капитального строительства Оренбургской области</w:t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Учетный номер объекта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Учетный номер объекта по </w:t>
            </w:r>
            <w:hyperlink r:id="rId45" w:tooltip="Приказ Минфина России от 28.12.2010 N 191н (ред. от 30.09.2024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те России 03.02.2011 N 19693) {КонсультантПлюс}" w:history="1">
              <w:r>
                <w:rPr>
                  <w:color w:val="0000ff"/>
                  <w:sz w:val="24"/>
                </w:rPr>
                <w:t xml:space="preserve">форме 0503190</w:t>
              </w:r>
            </w:hyperlink>
            <w:r>
              <w:rPr>
                <w:sz w:val="24"/>
              </w:rPr>
              <w:t xml:space="preserve">/</w:t>
            </w:r>
            <w:hyperlink r:id="rId46" w:tooltip="Приказ Минфина России от 25.03.2011 N 33н (ред. от 30.09.2024) &quot;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&quot; (Зарегистрировано в Минюсте России 22.04.2011 N 20558) (с изм. и доп., вступ. в силу с 01.01.2025) {КонсультантПлюс}" w:history="1">
              <w:r>
                <w:rPr>
                  <w:color w:val="0000ff"/>
                  <w:sz w:val="24"/>
                </w:rPr>
                <w:t xml:space="preserve">0503790</w:t>
              </w:r>
            </w:hyperlink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Основание для включения в региональный реестр незавершенных объектов капитального строительства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Дата включения (внесения изменений) в региональный реестр незавершенных объектов капитального строительства Оренбургской области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Информация о включении мероприятия в план мероприятий по снижению количества объектов незавершенного строительства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Наименование объекта незавершенного строительства (согласно </w:t>
            </w:r>
            <w:hyperlink r:id="rId47" w:tooltip="Приказ Минфина России от 28.12.2010 N 191н (ред. от 30.09.2024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те России 03.02.2011 N 19693) {КонсультантПлюс}" w:history="1">
              <w:r>
                <w:rPr>
                  <w:color w:val="0000ff"/>
                  <w:sz w:val="24"/>
                </w:rPr>
                <w:t xml:space="preserve">форме 0503190</w:t>
              </w:r>
            </w:hyperlink>
            <w:r>
              <w:rPr>
                <w:sz w:val="24"/>
              </w:rPr>
              <w:t xml:space="preserve"> </w:t>
            </w:r>
            <w:hyperlink r:id="rId48" w:tooltip="Приказ Минфина России от 25.03.2011 N 33н (ред. от 30.09.2024) &quot;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&quot; (Зарегистрировано в Минюсте России 22.04.2011 N 20558) (с изм. и доп., вступ. в силу с 01.01.2025) {КонсультантПлюс}" w:history="1">
              <w:r>
                <w:rPr>
                  <w:color w:val="0000ff"/>
                  <w:sz w:val="24"/>
                </w:rPr>
                <w:t xml:space="preserve">(0503790)</w:t>
              </w:r>
            </w:hyperlink>
            <w:r/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Адрес (местонахождение) объекта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Кадастровый номер объекта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Причины приостановления строительства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Наименование заказчика (заказчиков) (правообладателя (правообладателей), балансодержателя (балансодержателей))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Идентификационный номер налогоплательщика заказчика (заказчиков) (правообладателя (правообладателей), балансодержателя (балансодержателей))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Реквизиты государственного контракта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Правообладатель земельного участка, на котором расположен незавершенный объект капитального строительства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Наименование проекта (программы), реализуемого (реализуемой) на территории Оренбургской области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Мощность объекта (единица измерения, значение)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Наличие проектной документации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Функциональная зона по документам территориального планирования муниципальных образований (жилая зона, общественно-деловая зона, производственная зона, зона инженерной и транспортной инфраструктур, зона специального назначения, иная зона)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Наличие и реквизиты проекта планировки территории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918"/>
        </w:trPr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Документ, которым установлены расходные обязательства (для начала проектирования (строительства) объекта капитального строительства)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Дата и номер положительного заключения государственной экспертизы проектной документации объекта капитального строительства (при наличии)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Наличие разрешения на строительство (номер, дата)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Срок действия разрешения на строительство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Наличие исполнительной документации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Дата последнего обследования незавершенного объекта капитального строительства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25.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Стоимость проведения обследований (в текущих ценах), фактическая или необходимая (рублей)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26.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Год фактического начала строительства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27.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Год фактического приостановления (прекращения) строительства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28.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Степень строительной готовности (процентов)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29.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Срок простоя объекта (лет, месяцев)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30.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Предполагаемый срок окончания строительства (год, месяц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31.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Предполагаемый срок ввода объекта в эксплуатацию (год, месяц)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32.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Статус строительства объекта на отчетную дату (ведется, приостановлено, завершено)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33.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Проблемные моменты (наличие уголовных дел (номер, дата, статус), наличие претензий от заказчика или подрядчика (значимой информации, необходимой для принятия решения о завершении строительства или списании объекта))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34.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Общая сметная стоимость объекта на дату начала строительства в соответствии с утвержденной проектной документацией (рублей)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35.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Год, в ценах которого определена общая сметная стоимость объекта на дату начала строительства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36.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Общая сметная стоимость объекта на дату начала строительства в ценах соответствующих лет (рублей)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37.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Сумма капитальных вложений в объект за время строительства (в ценах соответствующих лет) - всего (рублей), в том числе: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38.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Сумма капитальных вложений в объект за время строительства (в ценах соответствующих лет) за счет средств областного бюджета (рублей)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39.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Сумма капитальных вложений в объект за время строительства (в ценах соответствующих лет) за счет средств местного бюджета (рублей)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40.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Остаток сметной стоимости (в ценах соответствующих лет) (рублей)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41.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Фактические расходы по счету 0106X1000 на начало года (рублей)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42.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Увеличение фактических расходов по счету 0106X1000 (рублей)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43.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Уменьшение фактических расходов по счету 0106X1000 (рублей)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44.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Фактические расходы по счету 0106X1000 на конец года (рублей)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45.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Объем средств, предусмотренный в плане мероприятий по снижению количества объектов незавершенного строительства (рублей)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46.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Сумма дополнительного финансирования, необходимая для завершения строительства, на дату включения (внесения изменений) в региональный реестр незавершенных объектов капитального строительства Оренбургской области - всего (рублей), в том числе: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both"/>
            </w:pPr>
            <w:r>
              <w:rPr>
                <w:sz w:val="24"/>
              </w:rPr>
              <w:t xml:space="preserve">47.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Сумма дополнительного финансирования за счет средств областного бюджета, необходимая для завершения строительства, на дату включения (внесения изменений) в региональный реестр незавершенных объектов капитального строительства Оренбургской области (рублей)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both"/>
            </w:pPr>
            <w:r>
              <w:rPr>
                <w:sz w:val="24"/>
              </w:rPr>
              <w:t xml:space="preserve">48.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Сумма дополнительного финансирования за счет средств местного бюджета, необходимая для завершения строительства, на дату включения (внесения изменений) в региональный реестр незавершенных объектов капитального строительства Оренбургской области (рублей)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49.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Целевая функция, определенная главным распорядителем средств областного (местного) бюджета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50.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Обоснование выбора целевой функции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51.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Фактические расходы на реализацию целевой функции всего (рублей), в том числе: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52.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Фактические расходы на реализацию целевой функции из областного (местного) бюджета (рублей)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53.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Стоимость реализации целевой функции (с учетом всех расходов, необходимых для выполнения целевой функции) - всего (рублей), в том числе: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54.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Стоимость реализации целевой функции (с учетом всех расходов, необходимых для выполнения целевой функции) из областного (местного) бюджета (рублей)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55.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Плановые сроки реализации инвестиционного проекта (срок завершения мероприятий по реализации целевой функции) - начало реализации (год, месяц)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56.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Плановые сроки реализации инвестиционного проекта (срок завершения мероприятий по реализации целевой функции) окончание реализации (год, месяц)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57.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Планируемая дата реализации целевой функции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58.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Предполагаемый получатель (балансодержатель) объекта капитального строительства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59.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Результат выполнения целевой функции на отчетную дату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60.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Источник финансирования, необходимого для завершения строительства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61.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Ссылка на фото объекта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1636"/>
              <w:jc w:val="center"/>
            </w:pPr>
            <w:r>
              <w:rPr>
                <w:sz w:val="24"/>
              </w:rPr>
              <w:t xml:space="preserve">62.</w:t>
            </w:r>
            <w:r/>
          </w:p>
        </w:tc>
        <w:tc>
          <w:tcPr>
            <w:tcW w:w="6350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  <w:t xml:space="preserve">Примечание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36"/>
            </w:pPr>
            <w:r>
              <w:rPr>
                <w:sz w:val="24"/>
              </w:rPr>
            </w:r>
            <w:r/>
          </w:p>
        </w:tc>
      </w:tr>
    </w:tbl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jc w:val="both"/>
      </w:pPr>
      <w:r>
        <w:rPr>
          <w:sz w:val="24"/>
        </w:rPr>
      </w:r>
      <w:r/>
    </w:p>
    <w:p>
      <w:pPr>
        <w:pStyle w:val="1636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16"/>
      <w:headerReference w:type="first" r:id="rId17"/>
      <w:footerReference w:type="default" r:id="rId26"/>
      <w:footerReference w:type="first" r:id="rId27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Оренбургской области от 14.03.2023 N 234-пп</w:t>
            <w:br/>
            <w:t xml:space="preserve">(ред. от 18.04.2025)</w:t>
            <w:br/>
            <w:t xml:space="preserve">"Об утверждении Положения о...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03.06.2025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Оренбургской области от 14.03.2023 N 234-пп</w:t>
            <w:br/>
            <w:t xml:space="preserve">(ред. от 18.04.2025)</w:t>
            <w:br/>
            <w:t xml:space="preserve">"Об утверждении Положения о...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03.06.2025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1636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637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1638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1639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1640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1641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1642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1643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164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6459" w:default="1">
    <w:name w:val="Default Paragraph Font"/>
    <w:uiPriority w:val="1"/>
    <w:semiHidden/>
    <w:unhideWhenUsed/>
  </w:style>
  <w:style w:type="numbering" w:styleId="6460" w:default="1">
    <w:name w:val="No List"/>
    <w:uiPriority w:val="99"/>
    <w:semiHidden/>
    <w:unhideWhenUsed/>
  </w:style>
  <w:style w:type="table" w:styleId="64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footer" Target="footer1.xml" /><Relationship Id="rId19" Type="http://schemas.openxmlformats.org/officeDocument/2006/relationships/footer" Target="footer2.xml" /><Relationship Id="rId20" Type="http://schemas.openxmlformats.org/officeDocument/2006/relationships/footer" Target="footer3.xml" /><Relationship Id="rId21" Type="http://schemas.openxmlformats.org/officeDocument/2006/relationships/footer" Target="footer4.xml" /><Relationship Id="rId22" Type="http://schemas.openxmlformats.org/officeDocument/2006/relationships/footer" Target="footer5.xml" /><Relationship Id="rId23" Type="http://schemas.openxmlformats.org/officeDocument/2006/relationships/footer" Target="footer6.xml" /><Relationship Id="rId24" Type="http://schemas.openxmlformats.org/officeDocument/2006/relationships/footer" Target="footer7.xml" /><Relationship Id="rId25" Type="http://schemas.openxmlformats.org/officeDocument/2006/relationships/footer" Target="footer8.xml" /><Relationship Id="rId26" Type="http://schemas.openxmlformats.org/officeDocument/2006/relationships/footer" Target="footer9.xml" /><Relationship Id="rId27" Type="http://schemas.openxmlformats.org/officeDocument/2006/relationships/footer" Target="footer10.xml" /><Relationship Id="rId28" Type="http://schemas.openxmlformats.org/officeDocument/2006/relationships/hyperlink" Target="https://login.consultant.ru/link/?req=doc&amp;base=RLAW390&amp;n=140383&amp;date=03.06.2025&amp;dst=100007&amp;field=134" TargetMode="External"/><Relationship Id="rId29" Type="http://schemas.openxmlformats.org/officeDocument/2006/relationships/hyperlink" Target="https://login.consultant.ru/link/?req=doc&amp;base=LAW&amp;n=481298&amp;date=03.06.2025&amp;dst=3868&amp;field=134" TargetMode="External"/><Relationship Id="rId30" Type="http://schemas.openxmlformats.org/officeDocument/2006/relationships/hyperlink" Target="https://login.consultant.ru/link/?req=doc&amp;base=RLAW390&amp;n=136253&amp;date=03.06.2025&amp;dst=100655&amp;field=134" TargetMode="External"/><Relationship Id="rId31" Type="http://schemas.openxmlformats.org/officeDocument/2006/relationships/hyperlink" Target="https://login.consultant.ru/link/?req=doc&amp;base=RLAW390&amp;n=140383&amp;date=03.06.2025&amp;dst=100008&amp;field=134" TargetMode="External"/><Relationship Id="rId32" Type="http://schemas.openxmlformats.org/officeDocument/2006/relationships/hyperlink" Target="https://login.consultant.ru/link/?req=doc&amp;base=RLAW390&amp;n=140383&amp;date=03.06.2025&amp;dst=100010&amp;field=134" TargetMode="External"/><Relationship Id="rId33" Type="http://schemas.openxmlformats.org/officeDocument/2006/relationships/hyperlink" Target="https://login.consultant.ru/link/?req=doc&amp;base=LAW&amp;n=481298&amp;date=03.06.2025" TargetMode="External"/><Relationship Id="rId34" Type="http://schemas.openxmlformats.org/officeDocument/2006/relationships/hyperlink" Target="https://login.consultant.ru/link/?req=doc&amp;base=LAW&amp;n=481298&amp;date=03.06.2025&amp;dst=3852&amp;field=134" TargetMode="External"/><Relationship Id="rId35" Type="http://schemas.openxmlformats.org/officeDocument/2006/relationships/hyperlink" Target="https://login.consultant.ru/link/?req=doc&amp;base=RLAW390&amp;n=140383&amp;date=03.06.2025&amp;dst=100011&amp;field=134" TargetMode="External"/><Relationship Id="rId36" Type="http://schemas.openxmlformats.org/officeDocument/2006/relationships/hyperlink" Target="https://login.consultant.ru/link/?req=doc&amp;base=RLAW390&amp;n=140383&amp;date=03.06.2025&amp;dst=100013&amp;field=134" TargetMode="External"/><Relationship Id="rId37" Type="http://schemas.openxmlformats.org/officeDocument/2006/relationships/hyperlink" Target="https://login.consultant.ru/link/?req=doc&amp;base=RLAW390&amp;n=140383&amp;date=03.06.2025&amp;dst=100015&amp;field=134" TargetMode="External"/><Relationship Id="rId38" Type="http://schemas.openxmlformats.org/officeDocument/2006/relationships/hyperlink" Target="https://login.consultant.ru/link/?req=doc&amp;base=RLAW390&amp;n=140383&amp;date=03.06.2025&amp;dst=100017&amp;field=134" TargetMode="External"/><Relationship Id="rId39" Type="http://schemas.openxmlformats.org/officeDocument/2006/relationships/hyperlink" Target="https://login.consultant.ru/link/?req=doc&amp;base=RLAW390&amp;n=140383&amp;date=03.06.2025&amp;dst=100018&amp;field=134" TargetMode="External"/><Relationship Id="rId40" Type="http://schemas.openxmlformats.org/officeDocument/2006/relationships/hyperlink" Target="https://login.consultant.ru/link/?req=doc&amp;base=LAW&amp;n=494395&amp;date=03.06.2025&amp;dst=19910&amp;field=134" TargetMode="External"/><Relationship Id="rId41" Type="http://schemas.openxmlformats.org/officeDocument/2006/relationships/hyperlink" Target="https://login.consultant.ru/link/?req=doc&amp;base=LAW&amp;n=490500&amp;date=03.06.2025&amp;dst=8858&amp;field=134" TargetMode="External"/><Relationship Id="rId42" Type="http://schemas.openxmlformats.org/officeDocument/2006/relationships/hyperlink" Target="https://login.consultant.ru/link/?req=doc&amp;base=LAW&amp;n=494395&amp;date=03.06.2025&amp;dst=19910&amp;field=134" TargetMode="External"/><Relationship Id="rId43" Type="http://schemas.openxmlformats.org/officeDocument/2006/relationships/hyperlink" Target="https://login.consultant.ru/link/?req=doc&amp;base=LAW&amp;n=490500&amp;date=03.06.2025&amp;dst=8858&amp;field=134" TargetMode="External"/><Relationship Id="rId44" Type="http://schemas.openxmlformats.org/officeDocument/2006/relationships/hyperlink" Target="https://login.consultant.ru/link/?req=doc&amp;base=RLAW390&amp;n=140383&amp;date=03.06.2025&amp;dst=100020&amp;field=134" TargetMode="External"/><Relationship Id="rId45" Type="http://schemas.openxmlformats.org/officeDocument/2006/relationships/hyperlink" Target="https://login.consultant.ru/link/?req=doc&amp;base=LAW&amp;n=494395&amp;date=03.06.2025&amp;dst=19910&amp;field=134" TargetMode="External"/><Relationship Id="rId46" Type="http://schemas.openxmlformats.org/officeDocument/2006/relationships/hyperlink" Target="https://login.consultant.ru/link/?req=doc&amp;base=LAW&amp;n=490500&amp;date=03.06.2025&amp;dst=8858&amp;field=134" TargetMode="External"/><Relationship Id="rId47" Type="http://schemas.openxmlformats.org/officeDocument/2006/relationships/hyperlink" Target="https://login.consultant.ru/link/?req=doc&amp;base=LAW&amp;n=494395&amp;date=03.06.2025&amp;dst=19910&amp;field=134" TargetMode="External"/><Relationship Id="rId48" Type="http://schemas.openxmlformats.org/officeDocument/2006/relationships/hyperlink" Target="https://login.consultant.ru/link/?req=doc&amp;base=LAW&amp;n=490500&amp;date=03.06.2025&amp;dst=8858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Оренбургской области от 14.03.2023 N 234-пп
(ред. от 18.04.2025)
"Об утверждении Положения о порядке формирования и ведения регионального реестра незавершенных объектов капитального строительства Оренбургской области, составе включаемых в него сведений и порядке представления таких сведений"
(вместе с "Положением о порядке формирования и ведения регионального реестра незавершенных объектов капитального строительства Оренбургской области, составе включаемых в него сведений и поряд</dc:title>
  <cp:lastModifiedBy>utz</cp:lastModifiedBy>
  <cp:revision>1</cp:revision>
  <dcterms:created xsi:type="dcterms:W3CDTF">2025-06-03T09:28:32Z</dcterms:created>
  <dcterms:modified xsi:type="dcterms:W3CDTF">2025-06-03T10:55:28Z</dcterms:modified>
</cp:coreProperties>
</file>