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38" w:rsidRDefault="00182638" w:rsidP="00182638">
      <w:pPr>
        <w:shd w:val="clear" w:color="auto" w:fill="FFFFFF"/>
        <w:spacing w:after="300" w:line="46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8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Утверждена форма заявления для застройщиков о готовности проекта для завершения его строительства без счетов </w:t>
      </w:r>
      <w:proofErr w:type="spellStart"/>
      <w:r w:rsidRPr="00182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эскроу</w:t>
      </w:r>
      <w:proofErr w:type="spellEnd"/>
    </w:p>
    <w:p w:rsidR="00D35EF3" w:rsidRPr="00182638" w:rsidRDefault="00644981" w:rsidP="00182638">
      <w:pPr>
        <w:shd w:val="clear" w:color="auto" w:fill="FFFFFF"/>
        <w:spacing w:after="300" w:line="46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850900</wp:posOffset>
            </wp:positionH>
            <wp:positionV relativeFrom="paragraph">
              <wp:posOffset>71120</wp:posOffset>
            </wp:positionV>
            <wp:extent cx="2508885" cy="274320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4" t="14880" r="30581" b="10504"/>
                    <a:stretch/>
                  </pic:blipFill>
                  <pic:spPr bwMode="auto">
                    <a:xfrm>
                      <a:off x="0" y="0"/>
                      <a:ext cx="250888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</w:p>
    <w:p w:rsidR="00D35EF3" w:rsidRPr="00D35EF3" w:rsidRDefault="00182638" w:rsidP="006449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Минстроя России </w:t>
      </w:r>
      <w:r w:rsidR="00447FFA" w:rsidRPr="00D3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24.05.2019 № 300/</w:t>
      </w:r>
      <w:proofErr w:type="spellStart"/>
      <w:r w:rsidR="00447FFA" w:rsidRPr="00D3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="00447FFA" w:rsidRPr="00D3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утверждена форма заявления застройщика о готовности проекта </w:t>
      </w:r>
      <w:proofErr w:type="gramStart"/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3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дострйки</w:t>
      </w:r>
      <w:proofErr w:type="spellEnd"/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старым правилам.</w:t>
      </w:r>
    </w:p>
    <w:p w:rsidR="00182638" w:rsidRPr="00182638" w:rsidRDefault="00182638" w:rsidP="006449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указывается информация о застройщике, приведены основания для применения к нему критериев, в соответствии с которыми определяется степень готовности объекта,  а также  приводится информация о количестве заключенных ДДУ, общей площади всех жилых и нежилых помещений, в отношении которых могут быть заключены ДДУ.</w:t>
      </w:r>
    </w:p>
    <w:p w:rsidR="00644981" w:rsidRPr="00182638" w:rsidRDefault="00644981" w:rsidP="008E7A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Минстроя </w:t>
      </w:r>
      <w:r w:rsidR="008E7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 на </w:t>
      </w:r>
      <w:r w:rsidR="008E7A59" w:rsidRPr="0003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="008E7A59" w:rsidRPr="00033F0E">
        <w:rPr>
          <w:sz w:val="28"/>
          <w:szCs w:val="28"/>
        </w:rPr>
        <w:t xml:space="preserve"> </w:t>
      </w:r>
      <w:r w:rsidR="008E7A59" w:rsidRPr="00033F0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портале правовой информации</w:t>
      </w:r>
      <w:r w:rsidR="008E7A59" w:rsidRPr="008E7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E7A59" w:rsidRPr="008E7A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hyperlink r:id="rId6" w:history="1">
        <w:r w:rsidR="008E7A59" w:rsidRPr="008E7A59">
          <w:rPr>
            <w:rStyle w:val="a6"/>
            <w:sz w:val="20"/>
            <w:szCs w:val="20"/>
          </w:rPr>
          <w:t>http://publication.pravo.gov.ru/Document/View/0001201906030016?index=0&amp;rangeSize=1</w:t>
        </w:r>
      </w:hyperlink>
      <w:r w:rsidR="008E7A59" w:rsidRPr="008E7A59">
        <w:rPr>
          <w:sz w:val="20"/>
          <w:szCs w:val="20"/>
        </w:rPr>
        <w:t>)</w:t>
      </w:r>
      <w:r w:rsidR="008E7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вступает </w:t>
      </w:r>
      <w:r w:rsidR="00777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законную силу </w:t>
      </w:r>
      <w:r w:rsidR="0003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14</w:t>
      </w:r>
      <w:r w:rsidR="008E7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2019 года.</w:t>
      </w:r>
    </w:p>
    <w:p w:rsidR="00182638" w:rsidRPr="00D35EF3" w:rsidRDefault="00182638" w:rsidP="0018263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638" w:rsidRPr="00182638" w:rsidRDefault="00182638" w:rsidP="0064498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Напомним, что с 1 мая 2019 года </w:t>
      </w:r>
      <w:hyperlink r:id="rId7" w:history="1">
        <w:r w:rsidRPr="00D35EF3">
          <w:rPr>
            <w:rFonts w:ascii="Times New Roman" w:eastAsia="Times New Roman" w:hAnsi="Times New Roman" w:cs="Times New Roman"/>
            <w:color w:val="B537D4"/>
            <w:sz w:val="28"/>
            <w:szCs w:val="28"/>
            <w:bdr w:val="none" w:sz="0" w:space="0" w:color="auto" w:frame="1"/>
            <w:lang w:eastAsia="ru-RU"/>
          </w:rPr>
          <w:t>вступило</w:t>
        </w:r>
      </w:hyperlink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силу </w:t>
      </w:r>
      <w:hyperlink r:id="rId8" w:history="1">
        <w:r w:rsidRPr="00D35EF3">
          <w:rPr>
            <w:rFonts w:ascii="Times New Roman" w:eastAsia="Times New Roman" w:hAnsi="Times New Roman" w:cs="Times New Roman"/>
            <w:color w:val="B537D4"/>
            <w:sz w:val="28"/>
            <w:szCs w:val="28"/>
            <w:bdr w:val="none" w:sz="0" w:space="0" w:color="auto" w:frame="1"/>
            <w:lang w:eastAsia="ru-RU"/>
          </w:rPr>
          <w:t>Постановление</w:t>
        </w:r>
      </w:hyperlink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Правительства РФ </w:t>
      </w:r>
      <w:r w:rsidR="00D35EF3" w:rsidRPr="00D3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22.04.2019 </w:t>
      </w:r>
      <w:hyperlink r:id="rId9" w:history="1">
        <w:r w:rsidRPr="00D35EF3">
          <w:rPr>
            <w:rFonts w:ascii="Times New Roman" w:eastAsia="Times New Roman" w:hAnsi="Times New Roman" w:cs="Times New Roman"/>
            <w:color w:val="B537D4"/>
            <w:sz w:val="28"/>
            <w:szCs w:val="28"/>
            <w:bdr w:val="none" w:sz="0" w:space="0" w:color="auto" w:frame="1"/>
            <w:lang w:eastAsia="ru-RU"/>
          </w:rPr>
          <w:t>№480</w:t>
        </w:r>
      </w:hyperlink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 критериях, определяющих степень готовности многоквартирного дома и (или) иного объекта недвижимости </w:t>
      </w:r>
      <w:r w:rsidR="00D35EF3" w:rsidRPr="00D3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количество заключенных ДДУ…»</w:t>
      </w:r>
    </w:p>
    <w:p w:rsidR="00182638" w:rsidRPr="00182638" w:rsidRDefault="00182638" w:rsidP="0064498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ключевой документ предоставляет застройщику возможность и после 1 июля 2019 года вести достройку своих жилых объектов по старым правилам — без привлечения проектного (банковского) финансирования и использования счетов </w:t>
      </w:r>
      <w:proofErr w:type="spellStart"/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"https://erzrf.ru/news/vladimir-yakushev-posle-perekhoda-na-proyektnoye-finansirovaniye-i-scheta-eskrou-zhilye-mozhet-podorozhat-na-56?search=%D1%8D%D1%81%D0%BA%D1%80%D0%BE%D1%83" </w:instrText>
      </w: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D35EF3">
        <w:rPr>
          <w:rFonts w:ascii="Times New Roman" w:eastAsia="Times New Roman" w:hAnsi="Times New Roman" w:cs="Times New Roman"/>
          <w:color w:val="B537D4"/>
          <w:sz w:val="28"/>
          <w:szCs w:val="28"/>
          <w:bdr w:val="none" w:sz="0" w:space="0" w:color="auto" w:frame="1"/>
          <w:lang w:eastAsia="ru-RU"/>
        </w:rPr>
        <w:t>эскроу</w:t>
      </w:r>
      <w:proofErr w:type="spellEnd"/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6BF8" w:rsidRPr="008E7A59" w:rsidRDefault="00182638" w:rsidP="008E7A5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этого, в соответствии с Постановлением, необходимо, чтобы строящийся объект был </w:t>
      </w:r>
      <w:hyperlink r:id="rId10" w:history="1">
        <w:r w:rsidRPr="00D35EF3">
          <w:rPr>
            <w:rFonts w:ascii="Times New Roman" w:eastAsia="Times New Roman" w:hAnsi="Times New Roman" w:cs="Times New Roman"/>
            <w:color w:val="B537D4"/>
            <w:sz w:val="28"/>
            <w:szCs w:val="28"/>
            <w:bdr w:val="none" w:sz="0" w:space="0" w:color="auto" w:frame="1"/>
            <w:lang w:eastAsia="ru-RU"/>
          </w:rPr>
          <w:t>готов</w:t>
        </w:r>
      </w:hyperlink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менее чем на 30% (в ряде случаев степень готовности проектов снижается </w:t>
      </w:r>
      <w:hyperlink r:id="rId11" w:history="1">
        <w:r w:rsidRPr="00D35EF3">
          <w:rPr>
            <w:rFonts w:ascii="Times New Roman" w:eastAsia="Times New Roman" w:hAnsi="Times New Roman" w:cs="Times New Roman"/>
            <w:color w:val="B537D4"/>
            <w:sz w:val="28"/>
            <w:szCs w:val="28"/>
            <w:bdr w:val="none" w:sz="0" w:space="0" w:color="auto" w:frame="1"/>
            <w:lang w:eastAsia="ru-RU"/>
          </w:rPr>
          <w:t>до15%</w:t>
        </w:r>
      </w:hyperlink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 </w:t>
      </w:r>
      <w:hyperlink r:id="rId12" w:history="1">
        <w:r w:rsidRPr="00D35EF3">
          <w:rPr>
            <w:rFonts w:ascii="Times New Roman" w:eastAsia="Times New Roman" w:hAnsi="Times New Roman" w:cs="Times New Roman"/>
            <w:color w:val="B537D4"/>
            <w:sz w:val="28"/>
            <w:szCs w:val="28"/>
            <w:bdr w:val="none" w:sz="0" w:space="0" w:color="auto" w:frame="1"/>
            <w:lang w:eastAsia="ru-RU"/>
          </w:rPr>
          <w:t>6%</w:t>
        </w:r>
      </w:hyperlink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доля средств дольщиков, привлеченных в рамках договоров участия в долевом строительстве (</w:t>
      </w:r>
      <w:hyperlink r:id="rId13" w:history="1">
        <w:r w:rsidRPr="00D35EF3">
          <w:rPr>
            <w:rFonts w:ascii="Times New Roman" w:eastAsia="Times New Roman" w:hAnsi="Times New Roman" w:cs="Times New Roman"/>
            <w:color w:val="B537D4"/>
            <w:sz w:val="28"/>
            <w:szCs w:val="28"/>
            <w:bdr w:val="none" w:sz="0" w:space="0" w:color="auto" w:frame="1"/>
            <w:lang w:eastAsia="ru-RU"/>
          </w:rPr>
          <w:t>ДДУ</w:t>
        </w:r>
      </w:hyperlink>
      <w:r w:rsidRPr="0018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данному объекту, составляла не менее 10%.</w:t>
      </w:r>
    </w:p>
    <w:sectPr w:rsidR="00386BF8" w:rsidRPr="008E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B7"/>
    <w:rsid w:val="00030869"/>
    <w:rsid w:val="00033F0E"/>
    <w:rsid w:val="00182638"/>
    <w:rsid w:val="001F6B69"/>
    <w:rsid w:val="00386BF8"/>
    <w:rsid w:val="00447FFA"/>
    <w:rsid w:val="00644981"/>
    <w:rsid w:val="00777E26"/>
    <w:rsid w:val="008E7A59"/>
    <w:rsid w:val="00D35EF3"/>
    <w:rsid w:val="00E6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9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E7A59"/>
    <w:rPr>
      <w:b/>
      <w:bCs/>
    </w:rPr>
  </w:style>
  <w:style w:type="character" w:styleId="a6">
    <w:name w:val="Hyperlink"/>
    <w:basedOn w:val="a0"/>
    <w:uiPriority w:val="99"/>
    <w:semiHidden/>
    <w:unhideWhenUsed/>
    <w:rsid w:val="008E7A5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7A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9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E7A59"/>
    <w:rPr>
      <w:b/>
      <w:bCs/>
    </w:rPr>
  </w:style>
  <w:style w:type="character" w:styleId="a6">
    <w:name w:val="Hyperlink"/>
    <w:basedOn w:val="a0"/>
    <w:uiPriority w:val="99"/>
    <w:semiHidden/>
    <w:unhideWhenUsed/>
    <w:rsid w:val="008E7A5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7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0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904230019" TargetMode="External"/><Relationship Id="rId13" Type="http://schemas.openxmlformats.org/officeDocument/2006/relationships/hyperlink" Target="https://erzrf.ru/news/nikita-stasishin-yesli-zastroyshchik-v-nedelnyy-srok-ne-otkroyet-spetsschet-yemu-zakroyut-registratsiyu-ddu?search=%D0%B4%D0%B4%D1%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zrf.ru/news/utverzhdeny-trebovaniya-k-proyektam-pretenduyushchim-na-dostroyku-po-starym-pravilam" TargetMode="External"/><Relationship Id="rId12" Type="http://schemas.openxmlformats.org/officeDocument/2006/relationships/hyperlink" Target="https://erzrf.ru/news/pik-i-lsr-smogut-poluchit-razresheniye-dostraivat-obyekty-po-starym-pravilam?search=%D0%9F%D0%98%D0%BA%20%D0%B8%20%D0%9B%D0%A1%D0%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1906030016?index=0&amp;rangeSize=1" TargetMode="External"/><Relationship Id="rId11" Type="http://schemas.openxmlformats.org/officeDocument/2006/relationships/hyperlink" Target="https://erzrf.ru/news/doli-kot-i-rzt-stremitelno-rastut-no-vse-ravno-ostayutsya-nizkimi?search=%D1%81%D1%82%D1%80%D0%B5%D0%BC%D0%B8%D1%82%D0%B5%D0%BB%D1%8C%D0%BD%D0%BE%2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rzrf.ru/news/kriterii-opredeleniya-proyektov-dostraivayemykh-bez-schetov-eskrou-obnaroduyut-na-sleduyushchey-nedele?search=%D0%BA%D1%80%D0%B8%D1%82%D0%B5%D1%80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1HJMArZZaQqOYAsGOPdxDnBV8a0qm3E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Аетпаева Ольга Николаевна</dc:creator>
  <cp:lastModifiedBy>Костенко Наталья Петровна</cp:lastModifiedBy>
  <cp:revision>2</cp:revision>
  <cp:lastPrinted>2019-06-06T07:04:00Z</cp:lastPrinted>
  <dcterms:created xsi:type="dcterms:W3CDTF">2019-06-06T13:29:00Z</dcterms:created>
  <dcterms:modified xsi:type="dcterms:W3CDTF">2019-06-06T13:29:00Z</dcterms:modified>
</cp:coreProperties>
</file>