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29" w:rsidRDefault="00F53A2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53A29" w:rsidRDefault="00F53A29">
      <w:pPr>
        <w:pStyle w:val="ConsPlusNormal"/>
        <w:jc w:val="both"/>
        <w:outlineLvl w:val="0"/>
      </w:pPr>
    </w:p>
    <w:p w:rsidR="00F53A29" w:rsidRDefault="00F53A2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53A29" w:rsidRDefault="00F53A29">
      <w:pPr>
        <w:pStyle w:val="ConsPlusTitle"/>
        <w:jc w:val="center"/>
      </w:pPr>
    </w:p>
    <w:p w:rsidR="00F53A29" w:rsidRDefault="00F53A29">
      <w:pPr>
        <w:pStyle w:val="ConsPlusTitle"/>
        <w:jc w:val="center"/>
      </w:pPr>
      <w:r>
        <w:t>РАСПОРЯЖЕНИЕ</w:t>
      </w:r>
    </w:p>
    <w:p w:rsidR="00F53A29" w:rsidRDefault="00F53A29">
      <w:pPr>
        <w:pStyle w:val="ConsPlusTitle"/>
        <w:jc w:val="center"/>
      </w:pPr>
      <w:r>
        <w:t>от 2 сентября 2021 г. N 2424-р</w:t>
      </w:r>
    </w:p>
    <w:p w:rsidR="00F53A29" w:rsidRDefault="00F53A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3A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A29" w:rsidRDefault="00F53A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A29" w:rsidRDefault="00F53A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A29" w:rsidRDefault="00F53A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3A29" w:rsidRDefault="00F53A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13.07.2022 </w:t>
            </w:r>
            <w:hyperlink r:id="rId5">
              <w:r>
                <w:rPr>
                  <w:color w:val="0000FF"/>
                </w:rPr>
                <w:t>N 1905-р</w:t>
              </w:r>
            </w:hyperlink>
            <w:r>
              <w:rPr>
                <w:color w:val="392C69"/>
              </w:rPr>
              <w:t>,</w:t>
            </w:r>
          </w:p>
          <w:p w:rsidR="00F53A29" w:rsidRDefault="00F53A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6">
              <w:r>
                <w:rPr>
                  <w:color w:val="0000FF"/>
                </w:rPr>
                <w:t>N 4042-р</w:t>
              </w:r>
            </w:hyperlink>
            <w:r>
              <w:rPr>
                <w:color w:val="392C69"/>
              </w:rPr>
              <w:t xml:space="preserve">, от 20.01.2023 </w:t>
            </w:r>
            <w:hyperlink r:id="rId7">
              <w:r>
                <w:rPr>
                  <w:color w:val="0000FF"/>
                </w:rPr>
                <w:t>N 68-р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A29" w:rsidRDefault="00F53A29">
            <w:pPr>
              <w:pStyle w:val="ConsPlusNormal"/>
            </w:pPr>
          </w:p>
        </w:tc>
      </w:tr>
    </w:tbl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ind w:firstLine="540"/>
        <w:jc w:val="both"/>
      </w:pPr>
      <w:r>
        <w:t xml:space="preserve">1. Утвердить прилагаемый Национальный </w:t>
      </w:r>
      <w:hyperlink w:anchor="P44">
        <w:r>
          <w:rPr>
            <w:color w:val="0000FF"/>
          </w:rPr>
          <w:t>план</w:t>
        </w:r>
      </w:hyperlink>
      <w:r>
        <w:t xml:space="preserve"> ("дорожную карту") развития конкуренции в Российской Федерации на 2021 - 2025 годы (далее - Национальный план).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2. Реализация Национального </w:t>
      </w:r>
      <w:hyperlink w:anchor="P44">
        <w:r>
          <w:rPr>
            <w:color w:val="0000FF"/>
          </w:rPr>
          <w:t>плана</w:t>
        </w:r>
      </w:hyperlink>
      <w:r>
        <w:t xml:space="preserve"> осуществляется соответствующими федеральными органами исполнительной власти в пределах установленной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выполнение функций в установленной сфере деятельности.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3. Руководителям федеральных органов исполнительной власти, ответственных за реализацию Национального </w:t>
      </w:r>
      <w:hyperlink w:anchor="P44">
        <w:r>
          <w:rPr>
            <w:color w:val="0000FF"/>
          </w:rPr>
          <w:t>плана</w:t>
        </w:r>
      </w:hyperlink>
      <w:r>
        <w:t>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обеспечить реализацию Национального </w:t>
      </w:r>
      <w:hyperlink w:anchor="P44">
        <w:r>
          <w:rPr>
            <w:color w:val="0000FF"/>
          </w:rPr>
          <w:t>плана</w:t>
        </w:r>
      </w:hyperlink>
      <w:r>
        <w:t>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ежеквартально, до 5-го числа месяца, следующего за отчетным кварталом, направлять в ФАС России информацию о ходе реализации Национального </w:t>
      </w:r>
      <w:hyperlink w:anchor="P44">
        <w:r>
          <w:rPr>
            <w:color w:val="0000FF"/>
          </w:rPr>
          <w:t>плана</w:t>
        </w:r>
      </w:hyperlink>
      <w:r>
        <w:t>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4. ФАС России: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обеспечить мониторинг и контроль реализации Национального </w:t>
      </w:r>
      <w:hyperlink w:anchor="P44">
        <w:r>
          <w:rPr>
            <w:color w:val="0000FF"/>
          </w:rPr>
          <w:t>плана</w:t>
        </w:r>
      </w:hyperlink>
      <w:r>
        <w:t>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ежеквартально, до 25-го числа месяца, следующего за отчетным кварталом, представлять в Правительство Российской Федерации информацию о ходе реализации Национального </w:t>
      </w:r>
      <w:hyperlink w:anchor="P44">
        <w:r>
          <w:rPr>
            <w:color w:val="0000FF"/>
          </w:rPr>
          <w:t>плана</w:t>
        </w:r>
      </w:hyperlink>
      <w:r>
        <w:t>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обеспечить ежегодное размещение на официальных сайтах органов исполнительной власти, ответственных за реализацию государственной политики по развитию конкуренции в субъекте Российской Федерации,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</w:t>
      </w:r>
      <w:hyperlink w:anchor="P44">
        <w:r>
          <w:rPr>
            <w:color w:val="0000FF"/>
          </w:rPr>
          <w:t>плана</w:t>
        </w:r>
      </w:hyperlink>
      <w:r>
        <w:t>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 срок до 1 января 2022 г. утвердить планы мероприятий ("дорожные карты") по содействию развитию конкуренции в субъектах Российской Федерации на 2022 - 2025 годы;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 срок до 31 декабря 2023 г. обеспечить равный доступ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в срок до 31 декабря 2024 г. обеспечить реализацию мероприятий, направленных на увеличение количества нестационарных и </w:t>
      </w:r>
      <w:proofErr w:type="gramStart"/>
      <w:r>
        <w:t>мобильных торговых объектов</w:t>
      </w:r>
      <w:proofErr w:type="gramEnd"/>
      <w:r>
        <w:t xml:space="preserve"> и торговых мест под них;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lastRenderedPageBreak/>
        <w:t>в срок до 1 января 2024 г. определить состав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 срок до 31 декабря 2025 г.: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обеспечить приватизацию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с участием органов местного самоуправления обеспечить организацию инвентаризации кладбищ и мест захоронений на них, создание в субъектах Российской Федерации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в срок до 31 декабря 2024 г. обеспечить реализацию мероприятий, направленных на увеличение количества нестационарных и </w:t>
      </w:r>
      <w:proofErr w:type="gramStart"/>
      <w:r>
        <w:t>мобильных торговых объектов</w:t>
      </w:r>
      <w:proofErr w:type="gramEnd"/>
      <w:r>
        <w:t xml:space="preserve"> и торговых мест под них;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 срок до 1 января 2024 г. 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 срок до 31 декабря 2025 г. 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</w: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jc w:val="right"/>
      </w:pPr>
      <w:r>
        <w:t>Председатель Правительства</w:t>
      </w:r>
    </w:p>
    <w:p w:rsidR="00F53A29" w:rsidRDefault="00F53A29">
      <w:pPr>
        <w:pStyle w:val="ConsPlusNormal"/>
        <w:jc w:val="right"/>
      </w:pPr>
      <w:r>
        <w:t>Российской Федерации</w:t>
      </w:r>
    </w:p>
    <w:p w:rsidR="00F53A29" w:rsidRDefault="00F53A29">
      <w:pPr>
        <w:pStyle w:val="ConsPlusNormal"/>
        <w:jc w:val="right"/>
      </w:pPr>
      <w:r>
        <w:t>М.МИШУСТИН</w:t>
      </w: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jc w:val="right"/>
        <w:outlineLvl w:val="0"/>
      </w:pPr>
      <w:r>
        <w:t>Утвержден</w:t>
      </w:r>
    </w:p>
    <w:p w:rsidR="00F53A29" w:rsidRDefault="00F53A29">
      <w:pPr>
        <w:pStyle w:val="ConsPlusNormal"/>
        <w:jc w:val="right"/>
      </w:pPr>
      <w:r>
        <w:t>распоряжением Правительства</w:t>
      </w:r>
    </w:p>
    <w:p w:rsidR="00F53A29" w:rsidRDefault="00F53A29">
      <w:pPr>
        <w:pStyle w:val="ConsPlusNormal"/>
        <w:jc w:val="right"/>
      </w:pPr>
      <w:r>
        <w:t>Российской Федерации</w:t>
      </w:r>
    </w:p>
    <w:p w:rsidR="00F53A29" w:rsidRDefault="00F53A29">
      <w:pPr>
        <w:pStyle w:val="ConsPlusNormal"/>
        <w:jc w:val="right"/>
      </w:pPr>
      <w:r>
        <w:t>от 2 сентября 2021 г. N 2424-р</w:t>
      </w: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Title"/>
        <w:jc w:val="center"/>
      </w:pPr>
      <w:bookmarkStart w:id="1" w:name="P44"/>
      <w:bookmarkEnd w:id="1"/>
      <w:r>
        <w:t>НАЦИОНАЛЬНЫЙ ПЛАН</w:t>
      </w:r>
    </w:p>
    <w:p w:rsidR="00F53A29" w:rsidRDefault="00F53A29">
      <w:pPr>
        <w:pStyle w:val="ConsPlusTitle"/>
        <w:jc w:val="center"/>
      </w:pPr>
      <w:r>
        <w:t>("ДОРОЖНАЯ КАРТА") РАЗВИТИЯ КОНКУРЕНЦИИ В РОССИЙСКОЙ</w:t>
      </w:r>
    </w:p>
    <w:p w:rsidR="00F53A29" w:rsidRDefault="00F53A29">
      <w:pPr>
        <w:pStyle w:val="ConsPlusTitle"/>
        <w:jc w:val="center"/>
      </w:pPr>
      <w:r>
        <w:t>ФЕДЕРАЦИИ НА 2021 - 2025 ГОДЫ</w:t>
      </w:r>
    </w:p>
    <w:p w:rsidR="00F53A29" w:rsidRDefault="00F53A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3A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A29" w:rsidRDefault="00F53A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A29" w:rsidRDefault="00F53A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A29" w:rsidRDefault="00F53A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3A29" w:rsidRDefault="00F53A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13.07.2022 </w:t>
            </w:r>
            <w:hyperlink r:id="rId8">
              <w:r>
                <w:rPr>
                  <w:color w:val="0000FF"/>
                </w:rPr>
                <w:t>N 1905-р</w:t>
              </w:r>
            </w:hyperlink>
            <w:r>
              <w:rPr>
                <w:color w:val="392C69"/>
              </w:rPr>
              <w:t>,</w:t>
            </w:r>
          </w:p>
          <w:p w:rsidR="00F53A29" w:rsidRDefault="00F53A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9">
              <w:r>
                <w:rPr>
                  <w:color w:val="0000FF"/>
                </w:rPr>
                <w:t>N 4042-р</w:t>
              </w:r>
            </w:hyperlink>
            <w:r>
              <w:rPr>
                <w:color w:val="392C69"/>
              </w:rPr>
              <w:t xml:space="preserve">, от 20.01.2023 </w:t>
            </w:r>
            <w:hyperlink r:id="rId10">
              <w:r>
                <w:rPr>
                  <w:color w:val="0000FF"/>
                </w:rPr>
                <w:t>N 68-р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A29" w:rsidRDefault="00F53A29">
            <w:pPr>
              <w:pStyle w:val="ConsPlusNormal"/>
            </w:pPr>
          </w:p>
        </w:tc>
      </w:tr>
    </w:tbl>
    <w:p w:rsidR="00F53A29" w:rsidRDefault="00F53A29">
      <w:pPr>
        <w:pStyle w:val="ConsPlusNormal"/>
        <w:jc w:val="both"/>
      </w:pPr>
    </w:p>
    <w:p w:rsidR="00F53A29" w:rsidRDefault="00F53A29">
      <w:pPr>
        <w:pStyle w:val="ConsPlusTitle"/>
        <w:jc w:val="center"/>
        <w:outlineLvl w:val="1"/>
      </w:pPr>
      <w:r>
        <w:t>I. Оценка реализации государственной политики</w:t>
      </w:r>
    </w:p>
    <w:p w:rsidR="00F53A29" w:rsidRDefault="00F53A29">
      <w:pPr>
        <w:pStyle w:val="ConsPlusTitle"/>
        <w:jc w:val="center"/>
      </w:pPr>
      <w:r>
        <w:t>по развитию конкуренции</w:t>
      </w: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ind w:firstLine="540"/>
        <w:jc w:val="both"/>
      </w:pPr>
      <w:hyperlink r:id="rId1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г. N 474 "О национальных целях </w:t>
      </w:r>
      <w:r>
        <w:lastRenderedPageBreak/>
        <w:t>развития Российской Федерации на период до 2030 года" определены 5 национальных целей развития Российской Федерации: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сохранение населения, здоровье и благополучие людей;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возможности для самореализации и развития талантов;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комфортная и безопасная среда для жизни;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достойный, эффективный труд и успешное предпринимательство;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цифровая трансформация.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Достижение указанных национальных целей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снижения административных и инфраструктурных барьеров до защиты прав граждан и региональной политики.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Конкурентная политика представляет собой комплекс последовательных мер, осуществляемых государством в целях обеспечения условий для конкуренции хозяйствующих субъектов, повышения эффективности и конкурентоспособности российской экономики, модернизации предприятий и создания условий для обеспечения экономически эффективным способом потребностей граждан в товарах и услугах.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21 декабря 2017 г. принят </w:t>
      </w:r>
      <w:hyperlink r:id="rId12">
        <w:r>
          <w:rPr>
            <w:color w:val="0000FF"/>
          </w:rPr>
          <w:t>Указ</w:t>
        </w:r>
      </w:hyperlink>
      <w:r>
        <w:t xml:space="preserve"> Президента Российской Федерации N 618 "Об основных направлениях государственной политики по развитию конкуренции" (далее - Указ N 618). Основной целью </w:t>
      </w:r>
      <w:hyperlink r:id="rId13">
        <w:r>
          <w:rPr>
            <w:color w:val="0000FF"/>
          </w:rPr>
          <w:t>Указа</w:t>
        </w:r>
      </w:hyperlink>
      <w:r>
        <w:t xml:space="preserve"> N 618 является укрепление национальной экономики, повышение удовлетворенности потребителей за счет расширения ассортимента товаров, работ, услуг, повышения их качества и снижения цен.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Таким образом, решение задач по развитию конкуренции является одним из элементов обеспечения достижения национальных целей.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Национальный план развития конкуренции в Российской Федерации на 2018 - 2020 годы, утвержденный </w:t>
      </w:r>
      <w:hyperlink r:id="rId14">
        <w:r>
          <w:rPr>
            <w:color w:val="0000FF"/>
          </w:rPr>
          <w:t>Указом</w:t>
        </w:r>
      </w:hyperlink>
      <w:r>
        <w:t xml:space="preserve"> N 618, ориентирован на достижение целей и задач по развитию конкуренции в наиболее значимых отраслях экономики.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5 апреля 2018 г. состоялось заседание Государственного совета Российской Федерации по вопросу приоритетных направлений деятельности субъектов Российской Федерации по содействию развитию конкуренции в стране.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Основные подходы к реализации </w:t>
      </w:r>
      <w:proofErr w:type="spellStart"/>
      <w:r>
        <w:t>проконкурентной</w:t>
      </w:r>
      <w:proofErr w:type="spellEnd"/>
      <w:r>
        <w:t xml:space="preserve"> политики в регионах Российской Федерации закреплены в </w:t>
      </w:r>
      <w:hyperlink r:id="rId15">
        <w:r>
          <w:rPr>
            <w:color w:val="0000FF"/>
          </w:rPr>
          <w:t>стандарте</w:t>
        </w:r>
      </w:hyperlink>
      <w:r>
        <w:t xml:space="preserve"> развития конкуренции в субъектах Российской Федерации, утвержденном распоряжением Правительства Российской Федерации от 17 апреля 2019 г. N 768-р.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Вопросы развития конкуренции стали неотъемлемой частью региональной экономической политики, во всех субъектах Российской Федерации разработаны и реализуются "дорожные карты" по содействию развитию конкуренции на товарных рынках, нацеленные на достижение ключевых показателей, установленных на региональном уровне.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На сегодняшний день в результате реализации действующих стратегических документов и поручений в Российской Федерации созданы правовые и организационные основы развития конкуренции.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lastRenderedPageBreak/>
        <w:t>Положительную роль в развитии конкуренции сыграли государственные программы и планы развития конкуренции, которые были реализованы в период до 2018 года, в частности: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16">
        <w:r>
          <w:rPr>
            <w:color w:val="0000FF"/>
          </w:rPr>
          <w:t>программа</w:t>
        </w:r>
      </w:hyperlink>
      <w:r>
        <w:t xml:space="preserve"> демонополизации экономики и развития конкуренции на рынках Российской Федерации (основные направления и первоочередные меры), утвержденная постановлением Правительства Российской Федерации от 9 марта 1994 г. N 191 "О Государственной программе демонополизации экономики и развития конкуренции на рынках Российской Федерации (основные направления и первоочередные меры)";</w:t>
      </w:r>
    </w:p>
    <w:p w:rsidR="00F53A29" w:rsidRDefault="00F53A29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Программа</w:t>
        </w:r>
      </w:hyperlink>
      <w:r>
        <w:t xml:space="preserve"> развития конкуренции в Российской Федерации, утвержденная распоряжением Правительства Российской Федерации от 19 мая 2009 г. N 691-р;</w:t>
      </w:r>
    </w:p>
    <w:p w:rsidR="00F53A29" w:rsidRDefault="00F53A29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план</w:t>
        </w:r>
      </w:hyperlink>
      <w:r>
        <w:t xml:space="preserve"> мероприятий ("дорожная карта") "Развитие конкуренции и совершенствование антимонопольной политики", утвержденный распоряжением Правительства Российской Федерации от 28 декабря 2012 г. N 2579-р.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Определенные результаты были достигнуты в результате реализации мероприятий, предусмотренных Национальным планом развития конкуренции в Российской Федерации на 2018 - 2020 годы, утвержденным </w:t>
      </w:r>
      <w:hyperlink r:id="rId19">
        <w:r>
          <w:rPr>
            <w:color w:val="0000FF"/>
          </w:rPr>
          <w:t>Указом</w:t>
        </w:r>
      </w:hyperlink>
      <w:r>
        <w:t xml:space="preserve"> N 618, </w:t>
      </w:r>
      <w:hyperlink r:id="rId20">
        <w:r>
          <w:rPr>
            <w:color w:val="0000FF"/>
          </w:rPr>
          <w:t>планом</w:t>
        </w:r>
      </w:hyperlink>
      <w:r>
        <w:t xml:space="preserve"> мероприятий ("дорожной картой")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годы, утвержденным распоряжением Правительства Российской Федерации от 16 августа 2018 г. N 1697-р.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Таким образом, удалось обеспечить присутствие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не менее трех хозяйствующих субъектов, из которых не менее чем один относится к частному бизнесу.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Данный ключевой показатель отражает количественное изменение состояния конкуренции на товарных рынках и при этом создает основу для перехода к решению новых задач, связанных уже с качественными изменениями.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Количество зафиксированных нарушений антимонопольного законодательства со стороны органов государственной власти и органов местного самоуправления в 2020 году снизилось в 2 раза по сравнению с 2017 годом.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Среди мероприятий, реализованных в рамках исполнения Национального плана развития конкуренции в Российской Федерации на 2018 - 2020 годы, в качестве наиболее значимых с точки зрения экономического эффекта и положительного влияния на экономику Российской Федерации можно отметить следующие: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принят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"О внесении изменений в Федеральный закон "О государственных и муниципальных унитарных предприятиях" и Федеральный закон "О защите конкуренции", направленный на запрет осуществления унитарными предприятиями деятельности на конкурентных рынках и снижение доли государственного сектора в экономике;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на территории Российской Федерации отменен национальный и внутрисетевой роуминг;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приняты правила недискриминационного доступа на товарный рынок услуг общедоступной почтовой связи и в сфере теплоснабжения;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расширены масштабы биржевой торговли наличными товарами (нефть, нефтепродукты, природный газ, лес, сахар, зерно и др.) и производными финансовыми инструментами, в агропромышленном комплексе повысилась товарность основных видов сельскохозяйственной продукции, расширилась география поставок товаров, реализуемых на биржевых торгах;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lastRenderedPageBreak/>
        <w:t xml:space="preserve">в рамках усиления борьбы с картелями и иными </w:t>
      </w:r>
      <w:proofErr w:type="spellStart"/>
      <w:r>
        <w:t>антиконкурентными</w:t>
      </w:r>
      <w:proofErr w:type="spellEnd"/>
      <w:r>
        <w:t xml:space="preserve"> соглашениями состоялась 18-я сессия Межправительственной группы экспертов по законодательству и политике в области конкуренции ЮНКТАД, по итогам которой был одобрен текст Руководящих принципов и процедур международного сотрудничества в соответствии с Секцией F Комплекса согласованных на многосторонней основе справедливых принципов и правил для контроля за ограничительной деловой практикой;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ограничена возможность региональных органов исполнительной власти принимать решения об установлении индексов изменения платы граждан за коммунальные услуги выше предельных уровней;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внедрен принцип ценового (тарифного) регулирования, стимулирующий организации к сокращению издержек;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введен метод предельного ценообразования на услуги общедоступной электросвязи и почтовой связи;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 сфере газоснабжения обеспечен переход к рыночному ценообразованию путем формирования биржевых и внебиржевых индикаторов цен на природный газ.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Реализация указанных мероприятий способствовала достижению целей и задач, определенных в </w:t>
      </w:r>
      <w:hyperlink r:id="rId22">
        <w:r>
          <w:rPr>
            <w:color w:val="0000FF"/>
          </w:rPr>
          <w:t>Указе</w:t>
        </w:r>
      </w:hyperlink>
      <w:r>
        <w:t xml:space="preserve"> N 618, в том числе таких как: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развитие конкуренции в сферах экономической деятельности государственных предприятий, предприятий с государственным участием. В частности, количество унитарных предприятий уменьшилось на 31,8 процента за 2018 - 2020 годы;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повышение удовлетворенности потребителей, в том числе за счет снижения цен. В результате отмены внутрисетевого роуминга экономия для потребителей составила порядка 6 млрд. рублей и одновременно возрос объем данных услуг связи;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обеспечение равного доступа к товарам и услугам субъектов естественных монополий. В частности, в результате принятия правил недискриминационного доступа в сфере теплоснабжения созданы условия для преодоления барьеров, таких как избыточные требования документов, необоснованный отказ в предоставлении услуги, долгое ожидание, отсутствие гарантии результата и прочее в процессе доступа потребителей к услугам.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Однако не все меры, предусмотренные программами, оказались достаточными для эффективного развития конкуренции.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 начале текущего десятилетия российская экономика оказалась перед долговременными системными вызовами, отражающими как мировые тенденции, так и внутренние барьеры развития.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Анализ глобальных экономических процессов позволяет сделать выводы о значительном изменении традиционных подходов и системы экономических отношений. Одним из главных факторов мирового экономического роста на современном этапе стали цифровые преобразования.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Структурные сдвиги в экономике происходят все стремительнее. Происходящие изменения настолько значительны, что могут быть охарактеризованы как крупнейший за всю историю технологический переход, когда богатство природных ресурсов и дешевизна труда перестают быть основными факторами роста экономики.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Еще одним вызовом как для российской экономики, так и для мировой экономики в целом стало распространение новой </w:t>
      </w:r>
      <w:proofErr w:type="spellStart"/>
      <w:r>
        <w:t>коронавирусной</w:t>
      </w:r>
      <w:proofErr w:type="spellEnd"/>
      <w:r>
        <w:t xml:space="preserve"> инфекции (COVID-19). Многие страны мира предприняли превентивные меры: закрыли границы, прекратили авиасообщение, ввели режимы </w:t>
      </w:r>
      <w:r>
        <w:lastRenderedPageBreak/>
        <w:t>самоизоляции и карантина.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Факторами, сдерживающими развитие конкуренции, продолжают оставаться следующие: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высокая доля государственного сектора в экономике;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монополизация рынков и их </w:t>
      </w:r>
      <w:proofErr w:type="spellStart"/>
      <w:r>
        <w:t>олигопольный</w:t>
      </w:r>
      <w:proofErr w:type="spellEnd"/>
      <w:r>
        <w:t xml:space="preserve"> характер;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недостаточная доля малых и средних предприятий в структуре экономики Российской Федерации;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сохраняющиеся ограничения доступа к инфраструктуре.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Каждый из вышеприведенных факторов непосредственным образом влияет на устойчивость экономического "иммунитета" Российской Федерации к текущей ситуации и развивающемуся в настоящее время глобальному экономическому кризису.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Решение задач по совершенствованию правовых и организационных мер обеспечения, защиты и развития конкуренции, позволяющих противостоять глобальным экономическим вызовам, возможно только при условии преодоления внутренних ограничений, сдерживающих экономический рост.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На следующем этапе реализации государственной политики по развитию конкуренции необходимы качественные системные, институциональные и организационные изменения, а также дальнейшие шаги по развитию конкуренции в отраслях национальной экономики.</w:t>
      </w: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Title"/>
        <w:jc w:val="center"/>
        <w:outlineLvl w:val="1"/>
      </w:pPr>
      <w:r>
        <w:t>II. Задачи, ключевые показатели и ожидаемые результаты</w:t>
      </w:r>
    </w:p>
    <w:p w:rsidR="00F53A29" w:rsidRDefault="00F53A29">
      <w:pPr>
        <w:pStyle w:val="ConsPlusTitle"/>
        <w:jc w:val="center"/>
      </w:pPr>
      <w:r>
        <w:t>развития конкуренции</w:t>
      </w: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ind w:firstLine="540"/>
        <w:jc w:val="both"/>
      </w:pPr>
      <w:r>
        <w:t>1. Задачи Национального плана ("дорожной карты") по развитию конкуренции в Российской Федерации на 2021 - 2025 годы (далее - Национальный план) определяются целями обеспечения экономического роста и необходимостью преодоления барьеров, сдерживающих развитие российской экономики, и включают в себя: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развитие добросовестной конкуренции на товарных рынках;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снижение барьеров для поставщиков и потребителей товаров, работ и услуг;</w:t>
      </w:r>
    </w:p>
    <w:p w:rsidR="00F53A29" w:rsidRDefault="00F53A29">
      <w:pPr>
        <w:pStyle w:val="ConsPlusNormal"/>
        <w:spacing w:before="220"/>
        <w:ind w:firstLine="540"/>
        <w:jc w:val="both"/>
      </w:pPr>
      <w:proofErr w:type="spellStart"/>
      <w:r>
        <w:t>дерегулирование</w:t>
      </w:r>
      <w:proofErr w:type="spellEnd"/>
      <w:r>
        <w:t xml:space="preserve"> сфер естественных монополий и отдельных регулируемых сфер деятельности, в которых созданы условия для развития конкуренции, на основании анализа состояния конкуренции;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обеспечение эффективного и прозрачного управления государственной и муниципальной собственностью, в том числе вовлечение в хозяйственный оборот неиспользуемого и непрофильного государственного и муниципального имущества (в том числе в социальной сфере), унификация процедур распоряжения государственной и муниципальной собственностью на основе аукционов, проводимых в электронной форме;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обеспечение равных условий деятельности на конкурентных рынках для компаний с государственным участием и организаций частной формы собственности;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унификация и систематизация государственных и муниципальных преференций хозяйствующим субъектам;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замена мер государственного регулирования экономических отношений на меры </w:t>
      </w:r>
      <w:r>
        <w:lastRenderedPageBreak/>
        <w:t>экономического стимулирования;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обеспечение недискриминационного доступа к природным ресурсам;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 xml:space="preserve">развитие организованной (биржевой) торговли товарами, производными финансовыми инструментами, базисным активом которых является товар, в том числе создание в Российской Федерации отвечающего международным стандартам биржевого товарного рынка фьючерсных контрактов и других товарных </w:t>
      </w:r>
      <w:proofErr w:type="spellStart"/>
      <w:r>
        <w:t>деривативов</w:t>
      </w:r>
      <w:proofErr w:type="spellEnd"/>
      <w:r>
        <w:t>, создание условий для реализации биржевых товаров на экспорт на российских биржах за рубли;</w:t>
      </w:r>
    </w:p>
    <w:p w:rsidR="00F53A29" w:rsidRDefault="00F53A29">
      <w:pPr>
        <w:pStyle w:val="ConsPlusNormal"/>
        <w:spacing w:before="220"/>
        <w:ind w:firstLine="540"/>
        <w:jc w:val="both"/>
      </w:pPr>
      <w:proofErr w:type="spellStart"/>
      <w:r>
        <w:t>цифровизация</w:t>
      </w:r>
      <w:proofErr w:type="spellEnd"/>
      <w:r>
        <w:t xml:space="preserve"> антимонопольного и тарифного регулирования;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расширение и повышение эффективности международного сотрудничества, направленного на обеспечение защиты и развития конкуренции, а также восстановление условий конкуренции в Российской Федерации при нарушении антимонопольного законодательства;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создание условий для развития конкуренции в сфере государственного оборонного заказа, стимулирующих увеличение доли государственных контрактов, заключенных путем проведения конкурентных процедур, и повышения эффективности механизма ценообразования в сфере государственного оборонного заказа;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перевозчиков.</w:t>
      </w:r>
    </w:p>
    <w:p w:rsidR="00F53A29" w:rsidRDefault="00F53A29">
      <w:pPr>
        <w:pStyle w:val="ConsPlusNormal"/>
        <w:spacing w:before="220"/>
        <w:ind w:firstLine="540"/>
        <w:jc w:val="both"/>
      </w:pPr>
      <w:r>
        <w:t>2. В целях контроля выполнения поставленных задач и достижения целей совершенствования государственной политики по развитию конкуренции устанавливаются следующие ключевые показатели развития конкуренции:</w:t>
      </w:r>
    </w:p>
    <w:p w:rsidR="00F53A29" w:rsidRDefault="00F53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37"/>
        <w:gridCol w:w="1276"/>
        <w:gridCol w:w="1417"/>
        <w:gridCol w:w="2356"/>
      </w:tblGrid>
      <w:tr w:rsidR="00F53A29"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3A29" w:rsidRDefault="00F53A29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3A29" w:rsidRDefault="00F53A2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3A29" w:rsidRDefault="00F53A2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Доля организаций с государственным и муниципальным участием в отраслях (сферах),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млн.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</w:t>
            </w:r>
            <w:r>
              <w:lastRenderedPageBreak/>
              <w:t xml:space="preserve">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</w:t>
            </w:r>
            <w:hyperlink r:id="rId23">
              <w:r>
                <w:rPr>
                  <w:color w:val="0000FF"/>
                </w:rPr>
                <w:t>N 91-р</w:t>
              </w:r>
            </w:hyperlink>
            <w:r>
              <w:t xml:space="preserve"> и от 30 августа 2017 г. </w:t>
            </w:r>
            <w:hyperlink r:id="rId24">
              <w:r>
                <w:rPr>
                  <w:color w:val="0000FF"/>
                </w:rPr>
                <w:t>N 1870-р</w:t>
              </w:r>
            </w:hyperlink>
            <w:r>
              <w:t>, в соответствии с законодательством 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по отношению к общему объему таких закупок в денежном выражении, 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 закупок, осуществляемых в связи с признанием конкурентных закупок несостоявшимися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</w:tbl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ind w:firstLine="540"/>
        <w:jc w:val="both"/>
      </w:pPr>
      <w:r>
        <w:t>--------------------------------</w:t>
      </w:r>
    </w:p>
    <w:p w:rsidR="00F53A29" w:rsidRDefault="00F53A29">
      <w:pPr>
        <w:pStyle w:val="ConsPlusNormal"/>
        <w:spacing w:before="220"/>
        <w:ind w:firstLine="540"/>
        <w:jc w:val="both"/>
      </w:pPr>
      <w:bookmarkStart w:id="2" w:name="P146"/>
      <w:bookmarkEnd w:id="2"/>
      <w:r>
        <w:t>&lt;*&gt; Методика расчета доли организаций с государственным и муниципальным участием утверждается федеральным антимонопольным органом.</w:t>
      </w: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ind w:firstLine="540"/>
        <w:jc w:val="both"/>
      </w:pPr>
      <w:bookmarkStart w:id="3" w:name="P148"/>
      <w:bookmarkEnd w:id="3"/>
      <w:r>
        <w:t>3. Ожидаемые результаты развития конкуренции в отдельных отраслях (сферах) экономики (видах деятельности):</w:t>
      </w:r>
    </w:p>
    <w:p w:rsidR="00F53A29" w:rsidRDefault="00F53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4"/>
        <w:gridCol w:w="2211"/>
      </w:tblGrid>
      <w:tr w:rsidR="00F53A29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3A29" w:rsidRDefault="00F53A29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1. Агропромышленный комплекс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На федеральном и региональном уровнях обеспечена возможность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Минсельхоз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Увеличено количество субъектов малого и среднего предпринимательства, включая крестьянские (фермерские) хозяйства и сельскохозяйственные кооперативы, получивших субсидии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Минсельхоз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Расширена номенклатура сельскохозяйственных товаров, </w:t>
            </w:r>
            <w:r>
              <w:lastRenderedPageBreak/>
              <w:t>реализуемых на бирже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Минсельхоз России,</w:t>
            </w:r>
          </w:p>
          <w:p w:rsidR="00F53A29" w:rsidRDefault="00F53A29">
            <w:pPr>
              <w:pStyle w:val="ConsPlusNormal"/>
            </w:pPr>
            <w:r>
              <w:lastRenderedPageBreak/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2. Информационные технологии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функционирования), отсутствуют унитарные предприятия, за исключением случаев, предусмотренных федеральными законами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 ввод в промышленную эксплуатацию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сфере:</w:t>
            </w:r>
          </w:p>
          <w:p w:rsidR="00F53A29" w:rsidRDefault="00F53A29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одна тысяча в 2023 году;</w:t>
            </w:r>
          </w:p>
          <w:p w:rsidR="00F53A29" w:rsidRDefault="00F53A29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- 20 тыс. в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Минобороны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Реализован функционал специализированной торговой площадки, обеспечивающий возможность проведения закрытых торгов, информация о которых содержит сведения, составляющие государственную тайну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ФСБ России,</w:t>
            </w:r>
          </w:p>
          <w:p w:rsidR="00F53A29" w:rsidRDefault="00F53A29">
            <w:pPr>
              <w:pStyle w:val="ConsPlusNormal"/>
            </w:pPr>
            <w:r>
              <w:t>ФСТЭК России,</w:t>
            </w:r>
          </w:p>
          <w:p w:rsidR="00F53A29" w:rsidRDefault="00F53A29">
            <w:pPr>
              <w:pStyle w:val="ConsPlusNormal"/>
            </w:pPr>
            <w:r>
              <w:t>Минфин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3. Сфера обращения твердых коммунальных отходов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Увеличение до 30 процентов к 2025 году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Минприроды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4. Сфера финансовых рынков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 равный доступ финансовым организациям, в том числе являющимся субъектами малого и среднего предпринимательства, к государственным программам субсидирования из средств бюджета льготного финансирования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Минфин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Обеспечено проведение открытых процедур отбора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населения, а также обеспечена возможность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Создан не менее чем один новый рынок производных финансовых инструментов, базисным активом которых является товар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Минфин России</w:t>
            </w:r>
          </w:p>
          <w:p w:rsidR="00F53A29" w:rsidRDefault="00F53A29">
            <w:pPr>
              <w:pStyle w:val="ConsPlusNormal"/>
            </w:pPr>
            <w:r>
              <w:lastRenderedPageBreak/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5. Природные ресурсы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Расширен доступ организаций, обладающих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Минвостокразвития</w:t>
            </w:r>
            <w:proofErr w:type="spellEnd"/>
            <w:r>
              <w:t xml:space="preserve"> России,</w:t>
            </w:r>
          </w:p>
          <w:p w:rsidR="00F53A29" w:rsidRDefault="00F53A29">
            <w:pPr>
              <w:pStyle w:val="ConsPlusNormal"/>
            </w:pPr>
            <w:r>
              <w:t>Минприроды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6. Электроэнергетика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Снижены сроки технологического присоединения к электрическим сетям до 90 дней к 2025 году в случаях, когда максимальная мощность заявителя составляет до 150 кВт и сетевой организации требуется строительство "последней мили" на расстоянии 300 - 500 метров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Оформление документов по подключению (технологическому присоединению) объектов капитального строительства к сетям инженерно-технического обеспечения осуществляется в электронной форме не менее чем в 40 субъектах Российской Федерации к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Не увеличены территории ценовых зон оптового рынка электрической энергии и мощности, для которых устанавливаются особенности функционирования оптового и розничных рынков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Доля организаций частной формы собственности составляет не менее:</w:t>
            </w:r>
          </w:p>
          <w:p w:rsidR="00F53A29" w:rsidRDefault="00F53A29">
            <w:pPr>
              <w:pStyle w:val="ConsPlusNormal"/>
            </w:pPr>
            <w:r>
              <w:t>30 процентов для организаций, осуществляющих деятельность по производству электроэнергии на розничном рынке;</w:t>
            </w:r>
          </w:p>
          <w:p w:rsidR="00F53A29" w:rsidRDefault="00F53A29">
            <w:pPr>
              <w:pStyle w:val="ConsPlusNormal"/>
            </w:pPr>
            <w:r>
              <w:t>30 процентов для организаций, осуществляющих деятельность по купле-продаже электроэнергии (</w:t>
            </w:r>
            <w:proofErr w:type="spellStart"/>
            <w:r>
              <w:t>энергосбытовую</w:t>
            </w:r>
            <w:proofErr w:type="spellEnd"/>
            <w:r>
              <w:t xml:space="preserve"> деятельность) на розничном рынке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7. Сфера транспорта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Обеспечены равные условия дистрибуции авиабилетов через глобальные и российские системы бронирования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both"/>
            </w:pPr>
            <w:r>
              <w:t>Минтранс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Обеспечена деятельность минимум одного независимого оператора, не входящего в группу лиц с оператором аэропорта, оказывающего услуги по наземному обслуживанию в аэропортах с пассажирооборотом свыше 3 млн. человек в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Минтранс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Железнодорожный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недискриминационной основе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Минтранс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Городской транспорт (автобусы):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Доля услуг (работ) по перевозке пассажиров автомобильным транспортом:</w:t>
            </w:r>
          </w:p>
          <w:p w:rsidR="00F53A29" w:rsidRDefault="00F53A29">
            <w:pPr>
              <w:pStyle w:val="ConsPlusNormal"/>
            </w:pPr>
            <w:r>
              <w:t>по муниципальным маршрутам регулярных перевозок, оказанных (выполненных) организациями частной формы собственности, - не менее 20 процентов;</w:t>
            </w:r>
          </w:p>
          <w:p w:rsidR="00F53A29" w:rsidRDefault="00F53A29">
            <w:pPr>
              <w:pStyle w:val="ConsPlusNormal"/>
            </w:pPr>
            <w:r>
              <w:t>по межмуниципальным маршрутам регулярных перевозок, оказанных (выполненных) организациями частной формы собственности, - не менее 30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Минтранс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8. Сфера образования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Во всех субъектах Российской Федерации обеспечено внедрение не позднее 2024 года системы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В субъектах Российской Федерации разработаны меры поддержки частных образовательных организаций, реализующих образовательную программу дошкольного образования и (или) осуществляющих присмотр и уход за детьми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Обеспечено включение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Доля детей, получающих образование в организациях частной формы собственности, от общего числа детей, получающих образование, составляет не менее:</w:t>
            </w:r>
          </w:p>
          <w:p w:rsidR="00F53A29" w:rsidRDefault="00F53A29">
            <w:pPr>
              <w:pStyle w:val="ConsPlusNormal"/>
            </w:pPr>
            <w:r>
              <w:t>1,6 процента на рынках дошкольного образования;</w:t>
            </w:r>
          </w:p>
          <w:p w:rsidR="00F53A29" w:rsidRDefault="00F53A29">
            <w:pPr>
              <w:pStyle w:val="ConsPlusNormal"/>
            </w:pPr>
            <w:r>
              <w:t>1 процента на рынках общего образования;</w:t>
            </w:r>
          </w:p>
          <w:p w:rsidR="00F53A29" w:rsidRDefault="00F53A29">
            <w:pPr>
              <w:pStyle w:val="ConsPlusNormal"/>
            </w:pPr>
            <w:r>
              <w:t>7,5 процента на рынках среднего профессионального образования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9. Сфера здравоохранения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На рынках лекарственных средств:</w:t>
            </w:r>
          </w:p>
          <w:p w:rsidR="00F53A29" w:rsidRDefault="00F53A29">
            <w:pPr>
              <w:pStyle w:val="ConsPlusNormal"/>
            </w:pPr>
            <w:r>
              <w:t>до 1 июля 2022 г. проведена работа по определению взаимозаменяемости лекарственных препаратов для не менее чем 50 процентов лекарственных препаратов,</w:t>
            </w:r>
          </w:p>
          <w:p w:rsidR="00F53A29" w:rsidRDefault="00F53A29">
            <w:pPr>
              <w:pStyle w:val="ConsPlusNormal"/>
            </w:pPr>
            <w:r>
              <w:t>до 31 декабря 2022 г. - для не менее чем 55 процентов лекарственных препаратов,</w:t>
            </w:r>
          </w:p>
          <w:p w:rsidR="00F53A29" w:rsidRDefault="00F53A29">
            <w:pPr>
              <w:pStyle w:val="ConsPlusNormal"/>
            </w:pPr>
            <w:r>
              <w:t>до 31 декабря 2023 г. - для не менее 60 процентов лекарственных препаратов,</w:t>
            </w:r>
          </w:p>
          <w:p w:rsidR="00F53A29" w:rsidRDefault="00F53A29">
            <w:pPr>
              <w:pStyle w:val="ConsPlusNormal"/>
            </w:pPr>
            <w:r>
              <w:t>до 31 декабря 2024 г. - для не менее 65 процентов лекарственных препаратов,</w:t>
            </w:r>
          </w:p>
          <w:p w:rsidR="00F53A29" w:rsidRDefault="00F53A29">
            <w:pPr>
              <w:pStyle w:val="ConsPlusNormal"/>
            </w:pPr>
            <w:r>
              <w:t>до 31 декабря 2025 г. - для не менее 70 процентов лекарственных препаратов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Минздрав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Система возмещения стоимости лекарственного обеспечения внедрена:</w:t>
            </w:r>
          </w:p>
          <w:p w:rsidR="00F53A29" w:rsidRDefault="00F53A29">
            <w:pPr>
              <w:pStyle w:val="ConsPlusNormal"/>
            </w:pPr>
            <w:r>
              <w:t>в не менее чем 10 пилотных регионах - к 2023 году,</w:t>
            </w:r>
          </w:p>
          <w:p w:rsidR="00F53A29" w:rsidRDefault="00F53A29">
            <w:pPr>
              <w:pStyle w:val="ConsPlusNormal"/>
            </w:pPr>
            <w:r>
              <w:t>во всех регионах - к 2025 году при условии выделения достаточных средств на пилотный проект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Минздрав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Доля организаций частной формы собственности составляет:</w:t>
            </w:r>
          </w:p>
          <w:p w:rsidR="00F53A29" w:rsidRDefault="00F53A29">
            <w:pPr>
              <w:pStyle w:val="ConsPlusNormal"/>
            </w:pPr>
            <w:r>
              <w:lastRenderedPageBreak/>
              <w:t>на рынках медицинских услуг - не менее 10 процентов, в том числе доля субъектов малого и среднего предпринимательства - не менее 80 процентов;</w:t>
            </w:r>
          </w:p>
          <w:p w:rsidR="00F53A29" w:rsidRDefault="00F53A29">
            <w:pPr>
              <w:pStyle w:val="ConsPlusNormal"/>
            </w:pPr>
            <w:r>
              <w:t>на рынках розничной торговли лекарственными препаратами, медицинскими изделиями - не менее 70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Минздрав России,</w:t>
            </w:r>
          </w:p>
          <w:p w:rsidR="00F53A29" w:rsidRDefault="00F53A29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10. Ритуальные услуги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В субъектах Российской Федерации 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</w:t>
            </w:r>
          </w:p>
          <w:p w:rsidR="00F53A29" w:rsidRDefault="00F53A29">
            <w:pPr>
              <w:pStyle w:val="ConsPlusNormal"/>
            </w:pPr>
            <w:r>
              <w:t>в отношении 20 процентов общего количества существующих кладбищ - до 31 декабря 2023 г.;</w:t>
            </w:r>
          </w:p>
          <w:p w:rsidR="00F53A29" w:rsidRDefault="00F53A29">
            <w:pPr>
              <w:pStyle w:val="ConsPlusNormal"/>
            </w:pPr>
            <w:r>
              <w:t>в отношении 50 процентов общего количества существующих кладбищ - до 31 декабря 2024 г.;</w:t>
            </w:r>
          </w:p>
          <w:p w:rsidR="00F53A29" w:rsidRDefault="00F53A29">
            <w:pPr>
              <w:pStyle w:val="ConsPlusNormal"/>
            </w:pPr>
            <w:r>
              <w:t>в отношении всех существующих кладбищ - до 31 декабря 2025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Минстрой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В субъектах Российской Федерации до 1 сентября 2023 г.:</w:t>
            </w:r>
          </w:p>
          <w:p w:rsidR="00F53A29" w:rsidRDefault="00F53A29">
            <w:pPr>
              <w:pStyle w:val="ConsPlusNormal"/>
            </w:pPr>
            <w:r>
              <w:t>созданы и размещены на региональных порталах государственных и муниципальных услуг реестры хозяйствующих субъектов, имеющих право на оказание услуг по организации похорон;</w:t>
            </w:r>
          </w:p>
          <w:p w:rsidR="00F53A29" w:rsidRDefault="00F53A29">
            <w:pPr>
              <w:pStyle w:val="ConsPlusNormal"/>
            </w:pPr>
            <w:r>
              <w:t>оказание услуг по организации похорон организовано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хозяйствующими субъектами ритуальных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Минстрой России, </w:t>
            </w: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Обеспечено оказание ритуальных услуг по принципу "одного окна"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Минстрой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11. Энергетика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Газ: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При торговле природным газом не менее 10 процентов общего объема поставок на территорию Российской Федерации составляет объем газа, поставка которого осуществлена по договорам, заключенным на биржевых торгах, в которых приняли участие не менее 5 продавцов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Созданы ликвидные биржевые и внебиржевые индикаторы цен на природный газ, сжиженный углеводородный газ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ФНС России,</w:t>
            </w:r>
          </w:p>
          <w:p w:rsidR="00F53A29" w:rsidRDefault="00F53A29">
            <w:pPr>
              <w:pStyle w:val="ConsPlusNormal"/>
            </w:pPr>
            <w:r>
              <w:t>Минэнерго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Сроки подключения (технологического присоединения) к сетям газораспределения составляют не более 135 дней для заявителей первой категории в соответствии с </w:t>
            </w:r>
            <w:hyperlink r:id="rId25">
              <w:r>
                <w:rPr>
                  <w:color w:val="0000FF"/>
                </w:rPr>
                <w:t>Правилами</w:t>
              </w:r>
            </w:hyperlink>
            <w:r>
              <w:t xml:space="preserve"> подключения </w:t>
            </w:r>
            <w:r>
              <w:lastRenderedPageBreak/>
              <w:t>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 декабря 2013 г. N 1314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Минэнерго России,</w:t>
            </w:r>
          </w:p>
          <w:p w:rsidR="00F53A29" w:rsidRDefault="00F53A29">
            <w:pPr>
              <w:pStyle w:val="ConsPlusNormal"/>
            </w:pPr>
            <w:r>
              <w:t>Минстрой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Оформление документов по подключению (технологическому присоединению) объектов капитального строительства к сетям газораспределения осуществляется через многофункциональные центры не менее чем в 45 субъектах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Минэкономразвития России,</w:t>
            </w:r>
          </w:p>
          <w:p w:rsidR="00F53A29" w:rsidRDefault="00F53A29">
            <w:pPr>
              <w:pStyle w:val="ConsPlusNormal"/>
            </w:pPr>
            <w:r>
              <w:t>Минэнерго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Сокращены объемы перекрестного субсидирования в рамках долгосрочного тарифного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Минэкономразвития России,</w:t>
            </w:r>
          </w:p>
          <w:p w:rsidR="00F53A29" w:rsidRDefault="00F53A29">
            <w:pPr>
              <w:pStyle w:val="ConsPlusNormal"/>
            </w:pPr>
            <w:r>
              <w:t>Минэнерго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Нефть и нефтепродукты: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Увеличена доля реализованных на биржевых торгах нефтепродуктов (автомобильные бензины, авиационный керосин, битум, сжиженный углеводородный газ, дизельное топливо, мазут) от общего объема производства по сравнению с 2020 годом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Обеспечено развитие экспорта нефти и нефтепродуктов с применением прозрачных форм торговли (организованные торги, аукционы)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Обеспечено развитие маркерного сорта российской нефти "Юралс" и повышена его ликвидность как независимого эталонного сорта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Формирование внебиржевых индексов цен на авиационный керосин в центрах потребления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Формирование биржевых и внебиржевых индексов цен на битум, судовое топливо в центрах потребления и на нефтепродукты, реализованные мелким оптом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ФНС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Угольная промышленность: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Объем энергетического угля, реализованного на бирже, составляет не менее 10 процентов поставок на территорию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  <w:p w:rsidR="00F53A29" w:rsidRDefault="00F53A29">
            <w:pPr>
              <w:pStyle w:val="ConsPlusNormal"/>
            </w:pPr>
            <w:r>
              <w:t>совместно с заинтересованными федеральными органами исполнительной власти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Обеспечено использование биржевых и внебиржевых индексов цен в </w:t>
            </w:r>
            <w:r>
              <w:lastRenderedPageBreak/>
              <w:t>целях повышения эффективности применения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Минфин России,</w:t>
            </w:r>
          </w:p>
          <w:p w:rsidR="00F53A29" w:rsidRDefault="00F53A29">
            <w:pPr>
              <w:pStyle w:val="ConsPlusNormal"/>
            </w:pPr>
            <w:r>
              <w:lastRenderedPageBreak/>
              <w:t>ФНС России,</w:t>
            </w:r>
          </w:p>
          <w:p w:rsidR="00F53A29" w:rsidRDefault="00F53A29">
            <w:pPr>
              <w:pStyle w:val="ConsPlusNormal"/>
            </w:pPr>
            <w:r>
              <w:t>Минэнерго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Созданы ликвидные биржевые и внебиржевые индикаторы цен на энергетический уголь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12. Химическая промышленность и нефтегазохимическая промышленность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Доля реализации химической и нефтегазохимической продукции на организованных торгах от поставок на внутренний рынок, в том числе в мелкооптовом сегменте, составляет для парафинов, </w:t>
            </w:r>
            <w:proofErr w:type="spellStart"/>
            <w:r>
              <w:t>ортоксилола</w:t>
            </w:r>
            <w:proofErr w:type="spellEnd"/>
            <w:r>
              <w:t>, толуола не менее 10 процентов объемов продаж на территории Российской Федерации каждого производителя, занимающего доминирующее положение на соответствующих товарных рынках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Расширена номенклатура химической и нефтегазохимической продукции, реализуемой на организованных торгах с учетом спроса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Сформированы ликвидные биржевые и внебиржевые индикаторы цен на минеральные удобрения, парафины, </w:t>
            </w:r>
            <w:proofErr w:type="spellStart"/>
            <w:r>
              <w:t>ортоксилол</w:t>
            </w:r>
            <w:proofErr w:type="spellEnd"/>
            <w:r>
              <w:t>, толуол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13. Строительство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Осуществлен переход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Минстрой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Доля организаций частной формы собственности в объеме выполненных работ по виду экономической деятельности "Строительство" составляет не менее 91 процента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Минстрой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14. Торговля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Увеличено количество нестационарных торговых объектов и торговых мест под них не менее чем на 10 процентов к 2025 году по отношению к 2020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России,</w:t>
            </w:r>
          </w:p>
          <w:p w:rsidR="00F53A29" w:rsidRDefault="00F53A2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15. Лесной комплекс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Обеспечено развитие ликвидных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Минприроды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Создание ликвидных биржевых индикаторов на лесоматериалы, основанных на результатах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Минприроды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ФНС России,</w:t>
            </w:r>
          </w:p>
          <w:p w:rsidR="00F53A29" w:rsidRDefault="00F53A29">
            <w:pPr>
              <w:pStyle w:val="ConsPlusNormal"/>
            </w:pPr>
            <w:r>
              <w:t>Минприроды России,</w:t>
            </w:r>
          </w:p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</w:tbl>
    <w:p w:rsidR="00F53A29" w:rsidRDefault="00F53A29">
      <w:pPr>
        <w:pStyle w:val="ConsPlusNormal"/>
        <w:jc w:val="both"/>
      </w:pPr>
    </w:p>
    <w:p w:rsidR="00F53A29" w:rsidRDefault="00F53A29">
      <w:pPr>
        <w:pStyle w:val="ConsPlusTitle"/>
        <w:jc w:val="center"/>
        <w:outlineLvl w:val="1"/>
      </w:pPr>
      <w:r>
        <w:t>III. Мероприятия Национального плана</w:t>
      </w: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sectPr w:rsidR="00F53A29" w:rsidSect="00332D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06"/>
        <w:gridCol w:w="1701"/>
        <w:gridCol w:w="1984"/>
        <w:gridCol w:w="2324"/>
      </w:tblGrid>
      <w:tr w:rsidR="00F53A29"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3A29" w:rsidRDefault="00F53A29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3A29" w:rsidRDefault="00F53A29">
            <w:pPr>
              <w:pStyle w:val="ConsPlusNormal"/>
              <w:jc w:val="center"/>
            </w:pPr>
            <w:r>
              <w:t xml:space="preserve">Срок реализации </w:t>
            </w:r>
            <w:hyperlink w:anchor="P72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Ответственные исполнители (соисполнители)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Продолжение работы по осуществлению приватизации федерального имущества, не используемого для реализации государственных функций и полномочий (непрофильного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Банк России в части финансовых организаций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регулярного размещения на официальных сайтах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плана, планов мероприятий ("дорожных карт") развития конкуренции на федеральном уровне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федеральные органы исполнительной власти, ответственные за реализацию Национального плана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эффективного выявления и пресечения картелей посредством внесения изменения в законодательство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июль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определения взаимозаменяемости лекарственных препаратов для медицинского применения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2022 г.</w:t>
            </w:r>
          </w:p>
          <w:p w:rsidR="00F53A29" w:rsidRDefault="00F53A29">
            <w:pPr>
              <w:pStyle w:val="ConsPlusNormal"/>
              <w:jc w:val="center"/>
            </w:pPr>
            <w:r>
              <w:t>31 декабря 2022 г.</w:t>
            </w:r>
          </w:p>
          <w:p w:rsidR="00F53A29" w:rsidRDefault="00F53A29">
            <w:pPr>
              <w:pStyle w:val="ConsPlusNormal"/>
              <w:jc w:val="center"/>
            </w:pPr>
            <w:r>
              <w:t>31 декабря 2023 г.</w:t>
            </w:r>
          </w:p>
          <w:p w:rsidR="00F53A29" w:rsidRDefault="00F53A29">
            <w:pPr>
              <w:pStyle w:val="ConsPlusNormal"/>
              <w:jc w:val="center"/>
            </w:pPr>
            <w:r>
              <w:t>31 декабря 2024 г.</w:t>
            </w:r>
          </w:p>
          <w:p w:rsidR="00F53A29" w:rsidRDefault="00F53A29">
            <w:pPr>
              <w:pStyle w:val="ConsPlusNormal"/>
              <w:jc w:val="center"/>
            </w:pPr>
            <w:r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Минздрав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Утверждение концепции развития оптовых продовольственных рынков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распоряжение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Утверждение плана мероприятий ("дорожной карты") развития организованной (биржевой) торговли на 2022 - 2025 годы с включением в него мероприятий, в том числе:</w:t>
            </w:r>
          </w:p>
          <w:p w:rsidR="00F53A29" w:rsidRDefault="00F53A29">
            <w:pPr>
              <w:pStyle w:val="ConsPlusNormal"/>
            </w:pPr>
            <w:r>
              <w:t>по использованию биржевых и внебиржевых индикаторов в налоговом и бюджетном регулировании и контроле;</w:t>
            </w:r>
          </w:p>
          <w:p w:rsidR="00F53A29" w:rsidRDefault="00F53A29">
            <w:pPr>
              <w:pStyle w:val="ConsPlusNormal"/>
            </w:pPr>
            <w:r>
              <w:t>по развитию срочного рынка, рынка производных финансовых инструментов;</w:t>
            </w:r>
          </w:p>
          <w:p w:rsidR="00F53A29" w:rsidRDefault="00F53A29">
            <w:pPr>
              <w:pStyle w:val="ConsPlusNormal"/>
            </w:pPr>
            <w:r>
              <w:t>по организации и развитию биржевой торговли товарами, ранее не участвовавшими в организованных торгах, товарами на экспорт, в рамках БРИКС, ЕАЭС;</w:t>
            </w:r>
          </w:p>
          <w:p w:rsidR="00F53A29" w:rsidRDefault="00F53A29">
            <w:pPr>
              <w:pStyle w:val="ConsPlusNormal"/>
            </w:pPr>
            <w:r>
              <w:t>по формированию системы национальных рыночных индикаторов цен на ключевые группы товаров с учетом биржевых цен, формируемых в том числе на международных и зарубежных организованных биржевых торгах;</w:t>
            </w:r>
          </w:p>
          <w:p w:rsidR="00F53A29" w:rsidRDefault="00F53A29">
            <w:pPr>
              <w:pStyle w:val="ConsPlusNormal"/>
            </w:pPr>
            <w:r>
              <w:t>по организации проведения биржевых торгов нефтепродуктами с базисами поставки, на которых реализацию нефтепродуктов осуществляет одновременно не менее трех производителей (объединение базисов поставки), для обеспечения реальной конкуренции производителей в рамках одного биржевого инструмента;</w:t>
            </w:r>
          </w:p>
          <w:p w:rsidR="00F53A29" w:rsidRDefault="00F53A29">
            <w:pPr>
              <w:pStyle w:val="ConsPlusNormal"/>
            </w:pPr>
            <w:r>
              <w:t>по развитию биржевых мелкооптовых торгов нефтепродуктами на базе оператора товарных поставок, в том числе с привлечением независимых нефтебаз;</w:t>
            </w:r>
          </w:p>
          <w:p w:rsidR="00F53A29" w:rsidRDefault="00F53A29">
            <w:pPr>
              <w:pStyle w:val="ConsPlusNormal"/>
            </w:pPr>
            <w:r>
              <w:t xml:space="preserve">по привлечению на уровне субъектов Российской Федерации к организованным </w:t>
            </w:r>
            <w:r>
              <w:lastRenderedPageBreak/>
              <w:t>торгам мелким оптом всех производителей, функционирующих в каждом из субъектов Российской Федерации;</w:t>
            </w:r>
          </w:p>
          <w:p w:rsidR="00F53A29" w:rsidRDefault="00F53A29">
            <w:pPr>
              <w:pStyle w:val="ConsPlusNormal"/>
            </w:pPr>
            <w:r>
              <w:t>по формированию ценовых индикаторов на нефтепродукты с учетом котировок российского биржевого фьючерсного рынка, информации о внебиржевых договорах, индикаторов биржевых спот-торгов, а также цен экспортной альтернативы (</w:t>
            </w:r>
            <w:proofErr w:type="spellStart"/>
            <w:r>
              <w:t>нетбэк</w:t>
            </w:r>
            <w:proofErr w:type="spellEnd"/>
            <w:r>
              <w:t>) и иной ценовой информации зарубежных рынков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России,</w:t>
            </w:r>
          </w:p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ФНС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 и</w:t>
            </w:r>
          </w:p>
          <w:p w:rsidR="00F53A29" w:rsidRDefault="00F53A29">
            <w:pPr>
              <w:pStyle w:val="ConsPlusNormal"/>
            </w:pPr>
            <w:r>
              <w:t>заинтересованных организаций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Утверждение плана мероприятий ("дорожной карты") развития конкуренции на рынках финансовых услуг на 2022 - 2025 годы с определением в нем перечней ключевых показателей, обеспечивающих в том числе:</w:t>
            </w:r>
          </w:p>
          <w:p w:rsidR="00F53A29" w:rsidRDefault="00F53A29">
            <w:pPr>
              <w:pStyle w:val="ConsPlusNormal"/>
            </w:pPr>
            <w:r>
              <w:t>снижение барьеров для поставщиков финансовых услуг;</w:t>
            </w:r>
          </w:p>
          <w:p w:rsidR="00F53A29" w:rsidRDefault="00F53A29">
            <w:pPr>
              <w:pStyle w:val="ConsPlusNormal"/>
            </w:pPr>
            <w:r>
              <w:t>расширение возможностей потребителя осуществлять свободный информированный выбор, в том числе смену поставщиков финансовых услуг;</w:t>
            </w:r>
          </w:p>
          <w:p w:rsidR="00F53A29" w:rsidRDefault="00F53A29">
            <w:pPr>
              <w:pStyle w:val="ConsPlusNormal"/>
            </w:pPr>
            <w:r>
              <w:t>совершенствование регулирования оборота данных, в том числе обеспечение конкурентного доступа финансовых организаций к данным;</w:t>
            </w:r>
          </w:p>
          <w:p w:rsidR="00F53A29" w:rsidRDefault="00F53A29">
            <w:pPr>
              <w:pStyle w:val="ConsPlusNormal"/>
            </w:pPr>
            <w:r>
              <w:t>формирование правовых основ антимонопольного регулирования деятельности финансовых организаций, развивающих цифровые и иные сервисы на базе экосистем (</w:t>
            </w:r>
            <w:proofErr w:type="spellStart"/>
            <w:r>
              <w:t>мультисервисных</w:t>
            </w:r>
            <w:proofErr w:type="spellEnd"/>
            <w:r>
              <w:t xml:space="preserve"> платформ), в том числе иностранных экосистем;</w:t>
            </w:r>
          </w:p>
          <w:p w:rsidR="00F53A29" w:rsidRDefault="00F53A29">
            <w:pPr>
              <w:pStyle w:val="ConsPlusNormal"/>
            </w:pPr>
            <w:r>
              <w:t xml:space="preserve">развитие института ответственности органов государственной власти за действия, </w:t>
            </w:r>
            <w:r>
              <w:lastRenderedPageBreak/>
              <w:t>искажающие конкурентное поле финансового рынка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Минфин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Утверждение по согласованию с Российской академией наук плана мероприятий ("дорожной карты") развития конкуренции в сфере науки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деятельности Антимонопольного центра БРИКС, в том числе его финансирования за счет бюджета Российской Федерации, проработка с государствами БРИКС вопроса трансформации в дальнейшем Антимонопольного центра БРИКС в международную структуру с эффективным финансовым и экспертным участием стран-партнеров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сентября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Минфин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Определение единого порядка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 несостоятельности (банкротстве)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Минюст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России,</w:t>
            </w:r>
          </w:p>
          <w:p w:rsidR="00F53A29" w:rsidRDefault="00F53A29">
            <w:pPr>
              <w:pStyle w:val="ConsPlusNormal"/>
            </w:pPr>
            <w:r>
              <w:t>Минприроды России,</w:t>
            </w:r>
          </w:p>
          <w:p w:rsidR="00F53A29" w:rsidRDefault="00F53A29">
            <w:pPr>
              <w:pStyle w:val="ConsPlusNormal"/>
            </w:pPr>
            <w:r>
              <w:t>Казначейство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Росреестр</w:t>
            </w:r>
            <w:proofErr w:type="spellEnd"/>
            <w:r>
              <w:t>,</w:t>
            </w:r>
          </w:p>
          <w:p w:rsidR="00F53A29" w:rsidRDefault="00F53A29">
            <w:pPr>
              <w:pStyle w:val="ConsPlusNormal"/>
            </w:pPr>
            <w:r>
              <w:t>Минсельхоз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Разработка комплекса мер, направленных на </w:t>
            </w:r>
            <w:r>
              <w:lastRenderedPageBreak/>
              <w:t>обеспечение недискриминационного доступа к природным ресурсам, включающих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приоритет распределения природных ресурсов на аукционах в электронной форме;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Минприроды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расширение доступа организациям, обладающим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31 декабря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Минвостокразвития</w:t>
            </w:r>
            <w:proofErr w:type="spellEnd"/>
            <w:r>
              <w:t xml:space="preserve"> России,</w:t>
            </w:r>
          </w:p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Минприроды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both"/>
            </w:pPr>
            <w:r>
              <w:t xml:space="preserve">Исключен. - </w:t>
            </w:r>
            <w:hyperlink r:id="rId2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13.07.2022 N 1905-р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функционирования в информационно-телекоммуникационной сети "Интернет" базового информационного портала по реализации государственной политики по развитию конкуренции, обеспечивающего в том числе автоматическое формирование на основе обработки больших объемов данных отчетов о реализации мероприятий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расширения случаев установления долгосрочных тарифов на услуги естественных монополий по принципу "инфляция минус"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both"/>
            </w:pPr>
            <w:r>
              <w:t xml:space="preserve">Исключен. - </w:t>
            </w:r>
            <w:hyperlink r:id="rId2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20.12.2022 N 4042-р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расширения перечня информации о внебиржевых договорах по поставкам нефти, предоставляемой на биржу, в целях формирования более широкого массива данных по указанным договорам и, как следствие, развитие репрезентативных национальных индексов на нефть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развития биржевых торгов природным газом с использованием услуг оператора товарных поставок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Обеспечение внедрения автоматизированной информационной системы по выявлению и доказыванию ограничивающих конкуренцию соглашений на торгах с учетом </w:t>
            </w:r>
            <w:proofErr w:type="spellStart"/>
            <w:r>
              <w:t>цифровизации</w:t>
            </w:r>
            <w:proofErr w:type="spellEnd"/>
            <w:r>
              <w:t xml:space="preserve"> неконкурентных практик участников торгов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Увеличение объемов биржевых торгов сырой нефтью, а также организация проведения аукционов для заключения контрактов на экспорт нефти на биржевой электронной площадке с последующим запуском торгов фьючерсными контрактами на экспортные сорта нефти "Юралс" и ВСТО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Разработка и утверждение плана мероприятий по развитию сотрудничества стран БРИКС по вопросам развития и защиты конкуренции, включающего вопросы биржевой торговли, восстановления условий конкуренции в Российской Федерации при нарушении </w:t>
            </w:r>
            <w:r>
              <w:lastRenderedPageBreak/>
              <w:t>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Проработка вопроса о целесообразности инициирования изменений в </w:t>
            </w:r>
            <w:hyperlink r:id="rId28">
              <w:r>
                <w:rPr>
                  <w:color w:val="0000FF"/>
                </w:rPr>
                <w:t>приложение N 25</w:t>
              </w:r>
            </w:hyperlink>
            <w:r>
              <w:t xml:space="preserve"> к Договору о Евразийском экономическом союзе в части закрепления возможности закупки из одного источника либо у единственного поставщика (исполнителя, подрядчика) в электронном формате с использованием электронного магазина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функционирования центров технологического трансфера для реализации антимонопольных требований при совершении трансграничных действий и сделок экономической концентрации, а также в иных случаях в целях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реализации мероприятий, направленных на формирование и развитие организованной (биржевой) торговли товарами, производными финансовыми инструментами, базисным активом которых является товар, и включенных в стратегические направления развития Евразийской экономической интеграции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Установление единого порядка подачи и получения документов на технологическое присоединение к сетям коммунальной инфраструктуры (с учетом особенностей социально значимых объектов) в режиме </w:t>
            </w:r>
            <w:r>
              <w:lastRenderedPageBreak/>
              <w:t>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Минстрой России,</w:t>
            </w:r>
          </w:p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Минэнерго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Разработка методики оценки ФАС России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приказ ФАС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марта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Определение порядка функционирования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сфере, включая формирование и ведение в данной системе каталога товаров (работ, услуг) для государственных нужд по государственному оборонному заказу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закон,</w:t>
            </w:r>
          </w:p>
          <w:p w:rsidR="00F53A29" w:rsidRDefault="00F53A29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2023 г.,</w:t>
            </w:r>
          </w:p>
          <w:p w:rsidR="00F53A29" w:rsidRDefault="00F53A29">
            <w:pPr>
              <w:pStyle w:val="ConsPlusNormal"/>
              <w:jc w:val="center"/>
            </w:pPr>
            <w:r>
              <w:t>6 месяцев с момента вступления в силу федерального закона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Минобороны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правового регулирования, предусматривающего унификацию и систематизацию государственных и муниципальных преференций, предоставляемых путем передачи государственного или муниципального имущества, иных объектов гражданских прав либо путем предоставления имущественных льгот, государственных или муниципальных гарантий, в том числе порядка их предоставления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Обеспечение внесения изменений в </w:t>
            </w:r>
            <w:hyperlink r:id="rId29">
              <w:r>
                <w:rPr>
                  <w:color w:val="0000FF"/>
                </w:rPr>
                <w:t>Кодекс</w:t>
              </w:r>
            </w:hyperlink>
            <w:r>
              <w:t xml:space="preserve"> </w:t>
            </w:r>
            <w:r>
              <w:lastRenderedPageBreak/>
              <w:t xml:space="preserve">административного судопроизводства Российской Федерации и Арбитражный процессуальный </w:t>
            </w:r>
            <w:hyperlink r:id="rId30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закрепляющих подсудность решений об установлении (изменении) регулируемых цен (тарифов) арбитражным судам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 xml:space="preserve">федеральный </w:t>
            </w:r>
            <w:r>
              <w:lastRenderedPageBreak/>
              <w:t>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введения ограничений на совершение финансовыми организациями (их группами лиц), активы (суммарные активы финансовых организаций, входящих в одну группу лиц) которых превышают значения, установленные Правительством Российской Федерации по согласованию с Банком России, сделок экономической концентрации в отношении других финансовых организаций, действующих на том же рынке финансовых услуг, за исключением случаев, предусмотренных актами Президента Российской Федерации и (или)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Минфин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Установление единых подходов и принципов пропорционального доступа финансовых организаций к получению средств бюджетов различных уровней, а также предоставлению банковских гарантий в зависимости от присвоенного уровня кредитного рейтинга по национальной рейтинговой шкале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Установление исключительно заявительного порядка участия финансовых организаций в программах субсидирования из средств </w:t>
            </w:r>
            <w:r>
              <w:lastRenderedPageBreak/>
              <w:t>бюджета при соответствии таких организаций общим требованиям к получателям субсидий, закрепленным Правительством Российской Федерации, запрета на адресное (индивидуальное) субсидирование финансовых организаций на конкурентных рынках, а также приоритета выплаты государством субсидий по факту оказания финансовой услуги на льготных условиях либо распределения средств государственной поддержки исходя из установленных Правительством Российской Федерации максимальных квот на одну финансовую организацию - участника программы субсидирования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  <w:p w:rsidR="00F53A29" w:rsidRDefault="00F53A29">
            <w:pPr>
              <w:pStyle w:val="ConsPlusNormal"/>
            </w:pPr>
            <w:r>
              <w:t xml:space="preserve">при участии Банка </w:t>
            </w:r>
            <w:r>
              <w:lastRenderedPageBreak/>
              <w:t>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Введение ограничений на осуществление финансовыми организациями (их группами лиц), активы (суммарные активы финансовых организаций, входящих в одну группу лиц) которых превышают величину, установленную Правительством Российской Федерации по согласованию с Банком России, сделок экономической концентрации в отношении нефинансовых организаций, в том числе путем установления возможности определения Правительством Российской Федерации по согласованию с Банком России допустимого срока владения акциями (долями), активами таких нефинансовых организаций, за исключением случаев, предусмотренных актами Президента Российской Федерации и (или)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Минфин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Обеспечение правовой основы для создания в </w:t>
            </w:r>
            <w:r>
              <w:lastRenderedPageBreak/>
              <w:t>субъектах Российской Федерации реестров хозяйствующих субъектов, оказывающих услуги по организации похорон, оказания услуг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ими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 xml:space="preserve">федеральный </w:t>
            </w:r>
            <w:r>
              <w:lastRenderedPageBreak/>
              <w:t>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Минстрой России,</w:t>
            </w:r>
          </w:p>
          <w:p w:rsidR="00F53A29" w:rsidRDefault="00F53A29">
            <w:pPr>
              <w:pStyle w:val="ConsPlusNormal"/>
            </w:pPr>
            <w:r>
              <w:lastRenderedPageBreak/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Закрепление на законодательном уровне обязанности по совершению сделок, предусматривающих переход прав владения, пользования, распоряжения недвижимым имуществом, в том числе земельными участками, организаций, учреждаемых или контролируемых государством или муниципальными образованиями, на аукционе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России,</w:t>
            </w:r>
          </w:p>
          <w:p w:rsidR="00F53A29" w:rsidRDefault="00F53A29">
            <w:pPr>
              <w:pStyle w:val="ConsPlusNormal"/>
            </w:pPr>
            <w:r>
              <w:t>Казначейство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Введение запрета на совмещение оказания ритуальных и медицинских услуг; оказание услуг по устройству и обустройству мест захоронений организациями, осуществляющими содержание кладбищ, с возможностью оказания таких услуг на конкурентной основе в соответствии с законами </w:t>
            </w:r>
            <w:r>
              <w:lastRenderedPageBreak/>
              <w:t>субъектов Российской Федерации; оказание иных ритуальных услуг исключительно на конкурентной основе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Минстрой России,</w:t>
            </w:r>
          </w:p>
          <w:p w:rsidR="00F53A29" w:rsidRDefault="00F53A29">
            <w:pPr>
              <w:pStyle w:val="ConsPlusNormal"/>
            </w:pPr>
            <w:r>
              <w:t>Минздрав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both"/>
            </w:pPr>
            <w:r>
              <w:t xml:space="preserve">Исключен. - </w:t>
            </w:r>
            <w:hyperlink r:id="rId3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20.01.2023 N 68-р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Установление квоты в размере 20 процентов для малого бизнеса в конкурсах на установку и размещение рекламных конструкций (наружной рекламы)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Создание возможности поиска посредством единого портала государственных и муниципальных услуг сведений о кладбищах, сведений о хозяйствующих субъектах, оказывающих услуги по организации похорон, содержащихся в реестрах таких субъектов, размещенных на региональных порталах государственных и муниципальных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Минстрой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реализации функционала специализированной торговой площадки, обеспечивающего возможность проведения закрытых торгов, содержащих сведения, составляющие государственную тайну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ФСБ России,</w:t>
            </w:r>
          </w:p>
          <w:p w:rsidR="00F53A29" w:rsidRDefault="00F53A29">
            <w:pPr>
              <w:pStyle w:val="ConsPlusNormal"/>
            </w:pPr>
            <w:r>
              <w:t>ФСТЭК России,</w:t>
            </w:r>
          </w:p>
          <w:p w:rsidR="00F53A29" w:rsidRDefault="00F53A29">
            <w:pPr>
              <w:pStyle w:val="ConsPlusNormal"/>
            </w:pPr>
            <w:r>
              <w:t>Минфин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Определение единых принципов учета государственного и муниципального имущества, а также размещения данных о нем в открытом доступе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Выявление и регистрация бесхозяйного, неучтенного, незарегистрированного государственного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доклад в Правительство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  <w:p w:rsidR="00F53A29" w:rsidRDefault="00F53A29">
            <w:pPr>
              <w:pStyle w:val="ConsPlusNormal"/>
            </w:pPr>
            <w:r>
              <w:lastRenderedPageBreak/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реализации мероприятий, направленных на принятие Международной конвенции о борьбе с картелями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Определение состава федерального имущества, не соответствующего требованиям отнесения к категории имущества, предназначенного для осуществления государственных полномочий (непрофильное имущество)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Проведение оценки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 и представление в Правительство Российской Федерации (а также в части документов стратегического планирования, затрагивающих деятельность финансовых организаций, в Банк России) предложений по внесению в них изменений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 (а также в части документов стратегического планирования, затрагивающих деятельность финансовых организаций, в Банк России)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России,</w:t>
            </w:r>
          </w:p>
          <w:p w:rsidR="00F53A29" w:rsidRDefault="00F53A29">
            <w:pPr>
              <w:pStyle w:val="ConsPlusNormal"/>
            </w:pPr>
            <w:r>
              <w:t>Минфин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Обеспечение прекращения государственного регулирования деятельности субъектов в отдельных сферах, в которых созданы условия для развития конкуренции (в том числе в сфере услуг в портах, аэропортах) на основании анализа состояния конкуренции, а также </w:t>
            </w:r>
            <w:r>
              <w:lastRenderedPageBreak/>
              <w:t>прекращения государственного регулирования цен (тарифов) в конкурентных сферах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включения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январь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Установление конкурентного механизма допуска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 и обеспечение возможности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июля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Минфин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  <w:p w:rsidR="00F53A29" w:rsidRDefault="00F53A29">
            <w:pPr>
              <w:pStyle w:val="ConsPlusNormal"/>
            </w:pPr>
            <w:r>
              <w:t>при участии Банка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 xml:space="preserve">Обеспечение перехода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моделирования, с определением возможности интеграции с </w:t>
            </w:r>
            <w:r>
              <w:lastRenderedPageBreak/>
              <w:t>региональными и муниципальными информационными системами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lastRenderedPageBreak/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Минстрой России,</w:t>
            </w:r>
          </w:p>
          <w:p w:rsidR="00F53A29" w:rsidRDefault="00F53A29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F53A29" w:rsidRDefault="00F53A29">
            <w:pPr>
              <w:pStyle w:val="ConsPlusNormal"/>
            </w:pPr>
            <w:r>
              <w:t>ФАС России,</w:t>
            </w:r>
          </w:p>
          <w:p w:rsidR="00F53A29" w:rsidRDefault="00F53A29">
            <w:pPr>
              <w:pStyle w:val="ConsPlusNormal"/>
            </w:pPr>
            <w:r>
              <w:t>Минэкономразвития России</w:t>
            </w:r>
          </w:p>
        </w:tc>
      </w:tr>
      <w:tr w:rsidR="00F53A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</w:pPr>
            <w:r>
              <w:t>Обеспечение возможности подачи и получения документов на технологическое присоединение ко всем видам сетей инженерно-технического обеспечения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A29" w:rsidRDefault="00F53A29">
            <w:pPr>
              <w:pStyle w:val="ConsPlusNormal"/>
            </w:pPr>
            <w:r>
              <w:t>Минстрой России,</w:t>
            </w:r>
          </w:p>
          <w:p w:rsidR="00F53A29" w:rsidRDefault="00F53A29">
            <w:pPr>
              <w:pStyle w:val="ConsPlusNormal"/>
            </w:pPr>
            <w:r>
              <w:t>ФАС России</w:t>
            </w:r>
          </w:p>
        </w:tc>
      </w:tr>
    </w:tbl>
    <w:p w:rsidR="00F53A29" w:rsidRDefault="00F53A29">
      <w:pPr>
        <w:pStyle w:val="ConsPlusNormal"/>
        <w:sectPr w:rsidR="00F53A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ind w:firstLine="540"/>
        <w:jc w:val="both"/>
      </w:pPr>
      <w:r>
        <w:t>--------------------------------</w:t>
      </w:r>
    </w:p>
    <w:p w:rsidR="00F53A29" w:rsidRDefault="00F53A29">
      <w:pPr>
        <w:pStyle w:val="ConsPlusNormal"/>
        <w:spacing w:before="220"/>
        <w:ind w:firstLine="540"/>
        <w:jc w:val="both"/>
      </w:pPr>
      <w:bookmarkStart w:id="4" w:name="P722"/>
      <w:bookmarkEnd w:id="4"/>
      <w:r>
        <w:t>&lt;*&gt; Для федеральных законов и актов Правительства Российской Федерации - срок внесения в Правительство Российской Федерации соответствующего проекта, для иных видов документов - срок их издания, опубликования или внесения (представления) в Правительство Российской Федерации.</w:t>
      </w: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jc w:val="both"/>
      </w:pPr>
    </w:p>
    <w:p w:rsidR="00F53A29" w:rsidRDefault="00F53A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5E2A" w:rsidRDefault="00B15E2A"/>
    <w:sectPr w:rsidR="00B15E2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29"/>
    <w:rsid w:val="00B15E2A"/>
    <w:rsid w:val="00F5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FB30B-CCEE-4FDA-A861-DE9D586F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3A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3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53A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53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53A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53A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53A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6CE6F352CA2AF4CC008F6C157626B43DB139D336A6CB53F1CABB1BC3E311E8315CD961B1AE82729CDF5D6877q7D2F" TargetMode="External"/><Relationship Id="rId18" Type="http://schemas.openxmlformats.org/officeDocument/2006/relationships/hyperlink" Target="consultantplus://offline/ref=FE6CE6F352CA2AF4CC008F6C157626B43EB134D03AA3CB53F1CABB1BC3E311E8235C816DB3AF9D7B9FCA0B3931244682694D3BC132B8FAECqED0F" TargetMode="External"/><Relationship Id="rId26" Type="http://schemas.openxmlformats.org/officeDocument/2006/relationships/hyperlink" Target="consultantplus://offline/ref=FE6CE6F352CA2AF4CC008F6C157626B43BBB3DDD38A3CB53F1CABB1BC3E311E8235C816DB3AF9C729DCA0B3931244682694D3BC132B8FAECqED0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6CE6F352CA2AF4CC008F6C157626B43CBD3DD338A7CB53F1CABB1BC3E311E8315CD961B1AE82729CDF5D6877q7D2F" TargetMode="External"/><Relationship Id="rId7" Type="http://schemas.openxmlformats.org/officeDocument/2006/relationships/hyperlink" Target="consultantplus://offline/ref=FE6CE6F352CA2AF4CC008F6C157626B43BBA3BDD39A1CB53F1CABB1BC3E311E8235C816DB3AF9C729DCA0B3931244682694D3BC132B8FAECqED0F" TargetMode="External"/><Relationship Id="rId12" Type="http://schemas.openxmlformats.org/officeDocument/2006/relationships/hyperlink" Target="consultantplus://offline/ref=FE6CE6F352CA2AF4CC008F6C157626B43DB139D336A6CB53F1CABB1BC3E311E8315CD961B1AE82729CDF5D6877q7D2F" TargetMode="External"/><Relationship Id="rId17" Type="http://schemas.openxmlformats.org/officeDocument/2006/relationships/hyperlink" Target="consultantplus://offline/ref=FE6CE6F352CA2AF4CC008F6C157626B43EB934D739A2CB53F1CABB1BC3E311E8235C816DB3AF9C7396CA0B3931244682694D3BC132B8FAECqED0F" TargetMode="External"/><Relationship Id="rId25" Type="http://schemas.openxmlformats.org/officeDocument/2006/relationships/hyperlink" Target="consultantplus://offline/ref=FE6CE6F352CA2AF4CC008F6C157626B43BB93ED63FA5CB53F1CABB1BC3E311E8235C816DB3AF9C739ACA0B3931244682694D3BC132B8FAECqED0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6CE6F352CA2AF4CC008F6C157626B43EBF38D23EAB9659F993B719C4EC4EFF24158D6CB3AF9E7295950E2C207C4981765339DD2EBAF8qEDDF" TargetMode="External"/><Relationship Id="rId20" Type="http://schemas.openxmlformats.org/officeDocument/2006/relationships/hyperlink" Target="consultantplus://offline/ref=FE6CE6F352CA2AF4CC008F6C157626B43CBF3FDC36A7CB53F1CABB1BC3E311E8235C816DB3AF9C739ACA0B3931244682694D3BC132B8FAECqED0F" TargetMode="External"/><Relationship Id="rId29" Type="http://schemas.openxmlformats.org/officeDocument/2006/relationships/hyperlink" Target="consultantplus://offline/ref=FE6CE6F352CA2AF4CC008F6C157626B43BBB3CDD37A3CB53F1CABB1BC3E311E8315CD961B1AE82729CDF5D6877q7D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CE6F352CA2AF4CC008F6C157626B43BBA39D43DA5CB53F1CABB1BC3E311E8235C816DB3AF9C729DCA0B3931244682694D3BC132B8FAECqED0F" TargetMode="External"/><Relationship Id="rId11" Type="http://schemas.openxmlformats.org/officeDocument/2006/relationships/hyperlink" Target="consultantplus://offline/ref=FE6CE6F352CA2AF4CC008F6C157626B43CBC3BDD3DA7CB53F1CABB1BC3E311E8235C816DB3AF9C7299CA0B3931244682694D3BC132B8FAECqED0F" TargetMode="External"/><Relationship Id="rId24" Type="http://schemas.openxmlformats.org/officeDocument/2006/relationships/hyperlink" Target="consultantplus://offline/ref=FE6CE6F352CA2AF4CC008F6C157626B43BBA3AD23AA0CB53F1CABB1BC3E311E8315CD961B1AE82729CDF5D6877q7D2F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FE6CE6F352CA2AF4CC008F6C157626B43BBB3DDD38A3CB53F1CABB1BC3E311E8235C816DB3AF9C729DCA0B3931244682694D3BC132B8FAECqED0F" TargetMode="External"/><Relationship Id="rId15" Type="http://schemas.openxmlformats.org/officeDocument/2006/relationships/hyperlink" Target="consultantplus://offline/ref=FE6CE6F352CA2AF4CC008F6C157626B43CBB3FD53FA2CB53F1CABB1BC3E311E8235C816DB3AF9C7399CA0B3931244682694D3BC132B8FAECqED0F" TargetMode="External"/><Relationship Id="rId23" Type="http://schemas.openxmlformats.org/officeDocument/2006/relationships/hyperlink" Target="consultantplus://offline/ref=FE6CE6F352CA2AF4CC008F6C157626B43BBA3AD23FA5CB53F1CABB1BC3E311E8315CD961B1AE82729CDF5D6877q7D2F" TargetMode="External"/><Relationship Id="rId28" Type="http://schemas.openxmlformats.org/officeDocument/2006/relationships/hyperlink" Target="consultantplus://offline/ref=FE6CE6F352CA2AF4CC008F6C157626B43BBA34D738A6CB53F1CABB1BC3E311E8235C816DB3AA997597CA0B3931244682694D3BC132B8FAECqED0F" TargetMode="External"/><Relationship Id="rId10" Type="http://schemas.openxmlformats.org/officeDocument/2006/relationships/hyperlink" Target="consultantplus://offline/ref=FE6CE6F352CA2AF4CC008F6C157626B43BBA3BDD39A1CB53F1CABB1BC3E311E8235C816DB3AF9C729DCA0B3931244682694D3BC132B8FAECqED0F" TargetMode="External"/><Relationship Id="rId19" Type="http://schemas.openxmlformats.org/officeDocument/2006/relationships/hyperlink" Target="consultantplus://offline/ref=FE6CE6F352CA2AF4CC008F6C157626B43DB139D336A6CB53F1CABB1BC3E311E8315CD961B1AE82729CDF5D6877q7D2F" TargetMode="External"/><Relationship Id="rId31" Type="http://schemas.openxmlformats.org/officeDocument/2006/relationships/hyperlink" Target="consultantplus://offline/ref=FE6CE6F352CA2AF4CC008F6C157626B43BBA3BDD39A1CB53F1CABB1BC3E311E8235C816DB3AF9C729DCA0B3931244682694D3BC132B8FAECqED0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E6CE6F352CA2AF4CC008F6C157626B43BBA39D43DA5CB53F1CABB1BC3E311E8235C816DB3AF9C729DCA0B3931244682694D3BC132B8FAECqED0F" TargetMode="External"/><Relationship Id="rId14" Type="http://schemas.openxmlformats.org/officeDocument/2006/relationships/hyperlink" Target="consultantplus://offline/ref=FE6CE6F352CA2AF4CC008F6C157626B43DB139D336A6CB53F1CABB1BC3E311E8235C816DB3AF9C7799CA0B3931244682694D3BC132B8FAECqED0F" TargetMode="External"/><Relationship Id="rId22" Type="http://schemas.openxmlformats.org/officeDocument/2006/relationships/hyperlink" Target="consultantplus://offline/ref=FE6CE6F352CA2AF4CC008F6C157626B43DB139D336A6CB53F1CABB1BC3E311E8315CD961B1AE82729CDF5D6877q7D2F" TargetMode="External"/><Relationship Id="rId27" Type="http://schemas.openxmlformats.org/officeDocument/2006/relationships/hyperlink" Target="consultantplus://offline/ref=FE6CE6F352CA2AF4CC008F6C157626B43BBA39D43DA5CB53F1CABB1BC3E311E8235C816DB3AF9C729DCA0B3931244682694D3BC132B8FAECqED0F" TargetMode="External"/><Relationship Id="rId30" Type="http://schemas.openxmlformats.org/officeDocument/2006/relationships/hyperlink" Target="consultantplus://offline/ref=FE6CE6F352CA2AF4CC008F6C157626B43BBB3ED436A1CB53F1CABB1BC3E311E8315CD961B1AE82729CDF5D6877q7D2F" TargetMode="External"/><Relationship Id="rId8" Type="http://schemas.openxmlformats.org/officeDocument/2006/relationships/hyperlink" Target="consultantplus://offline/ref=FE6CE6F352CA2AF4CC008F6C157626B43BBB3DDD38A3CB53F1CABB1BC3E311E8235C816DB3AF9C729DCA0B3931244682694D3BC132B8FAECqED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9017</Words>
  <Characters>51397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Борзых Марина Викторовна</dc:creator>
  <cp:keywords/>
  <dc:description/>
  <cp:lastModifiedBy>Борзых Марина Викторовна</cp:lastModifiedBy>
  <cp:revision>1</cp:revision>
  <dcterms:created xsi:type="dcterms:W3CDTF">2023-02-21T05:03:00Z</dcterms:created>
  <dcterms:modified xsi:type="dcterms:W3CDTF">2023-02-21T05:05:00Z</dcterms:modified>
</cp:coreProperties>
</file>