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ind w:firstLine="709"/>
        <w:spacing w:after="0"/>
        <w:rPr>
          <w:rFonts w:ascii="Times New Roman" w:hAnsi="Times New Roman" w:cs="Times New Roman"/>
          <w:sz w:val="20"/>
          <w:szCs w:val="28"/>
          <w:highlight w:val="yellow"/>
        </w:rPr>
      </w:pPr>
      <w:r>
        <w:rPr>
          <w:rFonts w:ascii="Times New Roman" w:hAnsi="Times New Roman" w:cs="Times New Roman"/>
          <w:sz w:val="20"/>
          <w:szCs w:val="28"/>
          <w:highlight w:val="yellow"/>
        </w:rPr>
      </w:r>
      <w:r>
        <w:rPr>
          <w:rFonts w:ascii="Times New Roman" w:hAnsi="Times New Roman" w:cs="Times New Roman"/>
          <w:sz w:val="20"/>
          <w:szCs w:val="28"/>
          <w:highlight w:val="yellow"/>
        </w:rPr>
      </w:r>
      <w:r>
        <w:rPr>
          <w:rFonts w:ascii="Times New Roman" w:hAnsi="Times New Roman" w:cs="Times New Roman"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«Стимулирование развития жилищного строительства в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госпрограмма) </w:t>
      </w:r>
      <w:r>
        <w:rPr>
          <w:rFonts w:ascii="Times New Roman" w:hAnsi="Times New Roman" w:cs="Times New Roman"/>
          <w:sz w:val="28"/>
          <w:szCs w:val="28"/>
        </w:rPr>
        <w:t xml:space="preserve">утверждена постановлением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Оренбургской области от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834</w:t>
      </w:r>
      <w:r>
        <w:rPr>
          <w:rFonts w:ascii="Times New Roman" w:hAnsi="Times New Roman" w:cs="Times New Roman"/>
          <w:sz w:val="28"/>
          <w:szCs w:val="28"/>
        </w:rPr>
        <w:t xml:space="preserve">-пп.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 xml:space="preserve">гос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повышение доступности и комфортности жилья, качества жилищного обеспечения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На реализацию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структурных элементов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госпрограммы в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бюджете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Оренбургской области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20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год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СБР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предусмотрено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3 452 389,5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тыс. рублей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ассигнований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Освоение средств (кассовые расходы) составило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99 854,1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тыс. рублей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% от СБР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задач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элементов </w:t>
      </w:r>
      <w:r>
        <w:rPr>
          <w:rFonts w:ascii="Times New Roman" w:hAnsi="Times New Roman" w:cs="Times New Roman"/>
          <w:sz w:val="28"/>
          <w:szCs w:val="28"/>
        </w:rPr>
        <w:t xml:space="preserve">ведется в соответствии с планом реализации госпрограммы.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подробная информация о достижении значений показателей госпрограммы,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структурных элементов госпрограммы;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использовании бюджетных ассигнований на ее реализацию в разрезе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элементов; о 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 выполнения плана реализации госпрограммы; об оценке достижения органами местного самоуправления муниципальных образований области результатов использования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прилагаемых таблицах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Реализация инфраструктурных проектов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1 «Создание объектов инфраструктуры в целях реализации инфраструктурных проектов»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соответствии с СБР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предусмотрена субсидия бюджетам муниципальных образований в объеме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1 273 714,2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. рублей на финансирование строительства транспортной развязки на пересечении улицы Гаранькина и Загородного шоссе           в г. Оренбурге в целях реализации инфраструктурных проектов.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Финансирование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квартал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2025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года не осуществлялось.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адача 2 «Создание объектов инфраструктуры в целях реализации масштабного инвестиционного проекта»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предусмотрена субсидия в объеме 445 000,0 тыс. рублей АО «Специализированный застройщик «Сельский дом» в виде вклада в денежной форме в имущество, не увеличивающий его уставный капитал в целях реализации масштабного инвест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иционного проекта «Строительство жилых домов для граждан, в том числе пострадавших при паводке в г. Орске» на финансирование мероприятий по технологическому присоединению к инженерным сетям, строительству объектов коммунальной, транспортной инфраструктуры.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Контрактация составила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100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%.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Объем финансирования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квартал текущего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года составил 14 821,9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 рублей (3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% от лимита).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 арендного (наемного) жилищного фонда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Восстановление прав граждан – участников долевого строительства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1 «Развитие арендного (наемного) жилищного фонда»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соответствии с постановлением Правительства Оренбургской области                         от 27.11.2014 № 910-п «О предоставлении жилых помещений жилищного фонда коммерческого использования Оренбургской области» за период с 01.01.2025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                     по 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1.03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.2025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комиссией рассмотрено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заявления, из которых: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– приняты положительные решения 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предоставлении жилых помещений.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При этом: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заявителя расторгли договоры, и на эти жилые помещения был снова объявлен прием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 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137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квартир наход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тся в пользовании граждан по договорам найма жилищного фонда коммерческого использования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(97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% от плана –                  140 квартир).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2 «Восстановление прав граждан – участников долевого строительства, права которых нарушены застройщиками»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 реализацию задачи в текущем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году бюджетные ассигнования не предусмотрены.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 системы градорегулирования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Оренбургской области»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color w:val="ff0000"/>
          <w:sz w:val="20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ff0000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ff0000"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Задача 1 «Разработка проектов в области градостроительной деятельности для нужд Оренбургской области»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редусмотрены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бюджетные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ассигнования в объеме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1 800,0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. рублей.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з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инистерством заключен государс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твенный контракт от 03.02.2025 с ООО «Региональный кадастровый центр» на подготовку проекта «Внесение изменений в схему территориального планирования Оренбургской области» со стоимостью работ 889,3 тыс. рублей и завершением работ в сентябре текущего года.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По итогам работы за I квартал текущего года подрядчиком осуществлены сбор, анализ, обобщение и систематизация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исходных данных, проведен комплексный анализ состояния и использования территорий и материалов для подготовки проекта.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Финансирование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квартал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года не осуществлялось.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Задача 2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Оказание содействия муниципальным образованиям в подготовке документов в области градостроительной деятельности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редусмотрены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бюджетные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ассигнования в объеме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1 782,7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. рублей.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По итогам работы за I квартал текущего года муниципальными образованиями Оренбургской области заключено 5 муниципальных контрактов на общую сумму           1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403,9 тыс. рублей на проведение работ по внесению изменений в генеральные планы и правила землепользования и застройки одного городского округа (г. Бузулук) и трех сельских поселений (Аксютинский, Воздвиженский, Кислинский сельсоветы Асекеевского района).</w:t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Финансирование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квартал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года не осуществлялось.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Задача 3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Оказание содействия муниципальным образованиям в подготовке документов для внесения сведений в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Единый государственный реестр недвижимости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 реализацию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задачи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в текущем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году бюджетные ассигнования не предусмотрены.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4 «Участие в разработке и реализации документации по планированию развития территорий муниципальных об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разований Оренбургской области»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редусмотрены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бюджетные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ассигнования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80 012,3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Министерством архитектуры и пространственно-градостроительного развития Оренбургской области (далее – минархитектуры Оренбургской области) в рамках достижения результатов комплекса процессных мероприятий в отчетном периоде, осуществлялись: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мониторинг и регулирование архитектурной деятельности на территории Оренбургской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разработка проектов нормативных правовых актов в сфере архитектурно-строительной деятельности;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публикация пресс-релизов, информационных материалов, размещаемых                 в информационно-коммуникационной сети «Интернет» о мероприятиях, реализуемых в рамках развития архитектуры и градостроительства в Оренбургской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консультативная деятельность по актуальным направ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лениям градостроительного развития территорий муниципальных образований Оренбургской области, а также по вопросам реализации федерального законодательства, нормативных правовых актов органов местного самоуправления в сфере архитектуры и градостроительства;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прием граждан, организаций, должностных лиц администраций муниципальных образований Оренбургской области по вопросам архитектуры и градостроительства;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рассмотрение обращений физических и юридических лиц по вопросам градостроительной и архитектурной деятельности на территории Оренбургской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Минархитектурой Оренбургской области в рамках достижения результатов поставленных задач осуществлялись: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организация и проведение заседания Архитектурно-градостроительного совета при Губернаторе Оренбургской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привлечение граждан в решение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вопросов развития архитектурно-пространственной среды посредством публикаций информационных материалов, размещаемых в информационно-коммуникационной сети «Интернет», связанных с вопросами архитектуры и градостроительства на территории Оренбургской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мониторинг участия граждан, проживающих на территории Оренбургской области, в мероприятиях по развитию архи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тектурно-пространственной среды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Объем финансирования за </w:t>
      </w:r>
      <w:r>
        <w:rPr>
          <w:rFonts w:ascii="Times New Roman" w:hAnsi="Times New Roman" w:cs="Times New Roman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квартал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текущего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года составил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14 796,8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тыс. рублей (18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,5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%).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5 «Реализация отдельных полномочий органов местного самоуправления муниципального образования город Оренбург в области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градостроительной деятельности»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Приказом минархитектуры Оренбургской области от 28.03.2025 № 36/47-од утверждены правила землепользования и застройки муниципального образования город Оренбург Оренбургской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6 «Реализация отдельных полномочий органов местного самоуправления муниципального образования Оренбургский район в области градостроительной деятельности»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Минархитектуры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контрольных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заключен государственный контракт № 10 от 18.03.2025 (сумма                    4 800,0 тыс. рублей) на разработку генерального плана и правил землепользования и застройки муниципального образования «Красноуральский сельсовет Оренбургского района».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данный момент осуществляется исполнение и приемка выполненных работ. Срок действия контракта – до 31.12.2025.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целом на реализацию задач № 5, № 6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данного комплекса процессных мероприятий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СБР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предусмотрены бюджетные ассигнования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67 700,0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Финансирование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текущего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года не осуществлялось.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7 «Организация проведения и участия в выставочных, конкурсных, презентационных мероприятий в сфере архитектуры, градостроительства и пространственного развития»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СБР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реду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смотрены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бюджетные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ассигнования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10 500,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0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щ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V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ф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естивале «Архитектурное наследие 2025», в смотре-конкурсе «Регионы России».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III квартале текущего года минархитектуры Оренбургской области планируется проведение архитектурной выставки «Меняя взгляд».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IV квартале текущего года планируется принять участие в XXXIII Международном архитектурном фестивале «Зодчество 2025».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Финансирование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текущего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года не осуществлялось.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«Обеспечение реализации государственной программы»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szCs w:val="28"/>
          <w:highlight w:val="yellow"/>
        </w:rPr>
      </w:pPr>
      <w:r>
        <w:rPr>
          <w:rFonts w:ascii="Times New Roman" w:hAnsi="Times New Roman" w:cs="Times New Roman"/>
          <w:sz w:val="20"/>
          <w:szCs w:val="28"/>
          <w:highlight w:val="yellow"/>
        </w:rPr>
      </w:r>
      <w:r>
        <w:rPr>
          <w:rFonts w:ascii="Times New Roman" w:hAnsi="Times New Roman" w:cs="Times New Roman"/>
          <w:sz w:val="20"/>
          <w:szCs w:val="28"/>
          <w:highlight w:val="yellow"/>
        </w:rPr>
      </w:r>
      <w:r>
        <w:rPr>
          <w:rFonts w:ascii="Times New Roman" w:hAnsi="Times New Roman" w:cs="Times New Roman"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1 «Повышение эффективности регионального государственного строительного надзора»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квартал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года должностными лицами инспекции государственного строительного надзора Оренбургской области: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проконтролировано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устранен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8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нарушений градостроительного законодательства, выявленных по результатам проверок строящихся, реконструируемых объектов капитального строительства;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– выдано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установленный срок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заключени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2 «Повышение эффективности контроля (надзора) в области долевого строительства многоквартирных жилых домов и (или) иных объектов недвижимости на территории Оренбургской области»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квартал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года должностными лицами инспекции государственного строительного надзора Оренбургской области: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– проведено 30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профилактических мероприяти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в отношении застройщиков, привлекающих денежные средства участников долевого строительства;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– проанализировано 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проектных деклараций застройщиков, привлекающих денежные средства участников долевого строительства для строительства (создания) многоквартирных домов и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или) иных объектов недвижимости.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целом на реализацию задач № 1, № 2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данного комплекса процессных мероприятий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соответствии с СБР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предусмотрены бюджетные ассигнования в размере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52 166,2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Объем финансирования 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квартал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года составил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10 540,8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тыс. рублей (20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,2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%).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3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  <w:t xml:space="preserve">Финансовое обеспечение деятельности органа исполнительн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  <w:t xml:space="preserve">ой власти и выполнения государственного задания учреждением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На оказание государственных услуг (выполнение работ) в сфере строительства и капитального ремонта в соответствии с СБР предусмотрены бюджетные ассигнования в размере 48 683,7 тыс. рублей.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В I квартале подписано 64 акта по оказанию услуг по ведению строительного контроля на территории Оренбургской области на объектах подлежащих р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еконструкции, капитальному ремонту. На объекте, где Управление капитального строительного Оренбургской области является заказчиком, продолжается исполнение заключенных контрактов: выполнение проектно-изыскательских работ по объекту капитального строительств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а «Административно-технический комплекс в г. Оренбурге», выполнение проектно-изыскательских и строительно-монтажных работ по объекту капитального строительства «Физкультурно-оздоровительный комплекс в с. Ивановка Оренбургского района Оренбургской области».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Объем финансирования за I квартал текущего года составил 12 463,6 тыс. рублей (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25,6 %).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На расходы министерства строительства, жилищно-коммунального, дорожного хозяйства и транспорта Оренбургской области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соответствии с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СБР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предусмотрен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бюджетны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ассигновани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в размере 228 498,1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тыс. рублей, кассовый расход произведен на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46 421,0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(20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,3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% от плана)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 ипотечного жилищного кредитования в Оренбургской области»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highlight w:val="yellow"/>
        </w:rPr>
      </w:pPr>
      <w:r>
        <w:rPr>
          <w:rFonts w:ascii="Times New Roman" w:hAnsi="Times New Roman" w:cs="Times New Roman"/>
          <w:sz w:val="20"/>
          <w:highlight w:val="yellow"/>
        </w:rPr>
      </w:r>
      <w:r>
        <w:rPr>
          <w:rFonts w:ascii="Times New Roman" w:hAnsi="Times New Roman" w:cs="Times New Roman"/>
          <w:sz w:val="20"/>
          <w:highlight w:val="yellow"/>
        </w:rPr>
      </w:r>
      <w:r>
        <w:rPr>
          <w:rFonts w:ascii="Times New Roman" w:hAnsi="Times New Roman" w:cs="Times New Roman"/>
          <w:sz w:val="20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Задача 1 «Создание условий для повышения доступности ипотечных жилищных кредитов для населения Оренбургской области»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СБР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редусмотрены бюджетны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объеме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27 204,8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По состоянию на 01.0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а выданы свидетельства о предоставлении социальной выплаты на уплату первоначального взноса при получении ипотечного жилищного кредита на приобретение жилья или его части за счет средств областного бюджета 25-ти семьям на общую сумму 25 779,81 тыс. рублей.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Улучшили жилищные условия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семья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на сумму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810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,0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тыс. рублей                   (4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% от плана).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Задача 2 «Создание условий для повышения доступности ипотечных жилищных кредитов для сотрудников аккредитованных Минцифры России ИТ-компаний»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реализацию задачи в текущем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бюджетные ассигнования не предусмотрены.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«Переселение граждан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из аварийного жилищного фонда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Оренбургской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1 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Переселение граждан из МКД,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признанных аварийными до 1 января 2022 года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соответствии с СБР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предусмотрены средства областного бюджета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232 693,3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 в том числе средства Фонда – 135 7766,5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рублей, средства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областного бюджета – 96 916,8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Плановое значение результата – 5,67 тыс. кв. метров.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Финансирование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квартале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текущего года не осуществлялось.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 «Переселение граждан из домов блокированной застройки, признанн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ых аварийными»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предусмотрены средства областного бюджета в объеме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52 377,4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рублей (постановление Правительства Оренбургской области от 13.02.2025 № 114-пп).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Плановое значение результата – 0,87 тыс. кв. метров.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Финансирование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квартале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текущего года не осуществлялось.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 «Переселение граждан из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МКД, признанных аварийными после 1 января 2022 года, находящихся под угрозой обрушения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соответствии с СБР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предусмотрены средства областного бюджета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8 896,8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 рублей (постановление Правительства Оренбургской области от 13.02.2025 № 113-пп).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Плановое значение результата – 2,0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кв. метров.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Финансирование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квартале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текущего года не осуществлялось.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Задача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 «Пер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еселение граждан из жилых домов (жилых помещений), признанных аварийными, расположенных на территории исторического поселения регионального значения город Оренбург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 реализацию задачи в текущем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году бюджетные ассигнования не предусмотрены.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Создание объектов инфраструктуры в целях реализации проектов по развитию территорий, расположенных в границах населенных пунктов, предусматривающих строительство жилья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Задача 1 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Создание объектов инфраструктуры в целях реализации проектов по развитию территорий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пред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усмотрена субсидия бюджетам муниципальных образований в объеме 831 360,0 тыс. рублей на создание объектов инфраструктуры в целях реализации проектов по развитию территорий, расположенных в границах населенных пунктов, предусматривающих строительство жилья.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2025 году предусмотрено финансирование строительства объектов: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«Строительство магистрали районного значения, соединяющей ул. Степана Разина и Загородное шоссе, (Дублер ул. Чкалова) в г. Оренбурге. 1 этап»;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«Магистраль районного значения, соединяющая ул. Степана Разина и Загородное шоссе, (Дублер ул. Чкалова) в г. Оренбурге. 3 этап»;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«Магистраль районного значения,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соединяющая ул. Степана Разина и Загородное шоссе, (Дублер ул. Чкалова) в г. Оренбурге. 2 этап»;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«Магистраль районного значения, соединяющая ул. Степана Разина и Загородное шоссе, (Дублер ул. Чкалова) в г. Оренбурге. 1.1 этап»;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«Магистраль районного значения, соединяющая ул. Степана Разина и Загородное шоссе, 9Дублер ул. Чкалова) в г. Оренбурге. 1.2 этап».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Контрактация объектов составила 100 %.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Финансирование за I квартал текущего года не осуществлялось.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Задача 2 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Создание объектов инженерной инфраструктуры к земельным участкам, предоставляемым многодетным семьям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В 2025 году предусмотрены средства областного бюджета в объеме                         30 000,0 тыс. рублей.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Целевой показатель «Количество построенных объектов инженерной инфраструктуры» – 1 единица (с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троительство инженерных сетей и благоустройства Юго-Запа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д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ного жилого района (микрорайон IX) г. Гая Оренбургской области 1 этап строительства. Канализация К1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. Выполнение показателя планируется по итогам года.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Финансирование мероприятия в I квартале не осуществлялось.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98489144"/>
      <w:docPartObj>
        <w:docPartGallery w:val="Page Numbers (Top of Page)"/>
        <w:docPartUnique w:val="true"/>
      </w:docPartObj>
      <w:rPr/>
    </w:sdtPr>
    <w:sdtContent>
      <w:p>
        <w:pPr>
          <w:pStyle w:val="864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7"/>
    <w:next w:val="857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58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7"/>
    <w:next w:val="857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58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58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5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58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8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8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7"/>
    <w:next w:val="85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8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7"/>
    <w:next w:val="85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8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57"/>
    <w:next w:val="857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58"/>
    <w:link w:val="705"/>
    <w:uiPriority w:val="10"/>
    <w:rPr>
      <w:sz w:val="48"/>
      <w:szCs w:val="48"/>
    </w:rPr>
  </w:style>
  <w:style w:type="paragraph" w:styleId="707">
    <w:name w:val="Subtitle"/>
    <w:basedOn w:val="857"/>
    <w:next w:val="857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58"/>
    <w:link w:val="707"/>
    <w:uiPriority w:val="11"/>
    <w:rPr>
      <w:sz w:val="24"/>
      <w:szCs w:val="24"/>
    </w:rPr>
  </w:style>
  <w:style w:type="paragraph" w:styleId="709">
    <w:name w:val="Quote"/>
    <w:basedOn w:val="857"/>
    <w:next w:val="857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7"/>
    <w:next w:val="857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58"/>
    <w:link w:val="864"/>
    <w:uiPriority w:val="99"/>
  </w:style>
  <w:style w:type="character" w:styleId="714">
    <w:name w:val="Footer Char"/>
    <w:basedOn w:val="858"/>
    <w:link w:val="866"/>
    <w:uiPriority w:val="99"/>
  </w:style>
  <w:style w:type="paragraph" w:styleId="715">
    <w:name w:val="Caption"/>
    <w:basedOn w:val="857"/>
    <w:next w:val="857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58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Footnote Text Char"/>
    <w:link w:val="873"/>
    <w:uiPriority w:val="99"/>
    <w:rPr>
      <w:sz w:val="18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rPr>
      <w:rFonts w:ascii="Calibri" w:hAnsi="Calibri" w:eastAsia="Times New Roman" w:cs="Calibri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 w:customStyle="1">
    <w:name w:val="Знак Знак1 Знак Знак"/>
    <w:basedOn w:val="85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862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18"/>
      <w:szCs w:val="18"/>
      <w:lang w:eastAsia="ru-RU"/>
    </w:rPr>
  </w:style>
  <w:style w:type="paragraph" w:styleId="863">
    <w:name w:val="List Paragraph"/>
    <w:basedOn w:val="857"/>
    <w:uiPriority w:val="99"/>
    <w:qFormat/>
    <w:pPr>
      <w:ind w:left="720"/>
    </w:pPr>
  </w:style>
  <w:style w:type="paragraph" w:styleId="864">
    <w:name w:val="Header"/>
    <w:basedOn w:val="857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8"/>
    <w:link w:val="864"/>
    <w:uiPriority w:val="99"/>
    <w:rPr>
      <w:rFonts w:ascii="Calibri" w:hAnsi="Calibri" w:eastAsia="Times New Roman" w:cs="Calibri"/>
    </w:rPr>
  </w:style>
  <w:style w:type="paragraph" w:styleId="866">
    <w:name w:val="Footer"/>
    <w:basedOn w:val="857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58"/>
    <w:link w:val="866"/>
    <w:uiPriority w:val="99"/>
    <w:rPr>
      <w:rFonts w:ascii="Calibri" w:hAnsi="Calibri" w:eastAsia="Times New Roman" w:cs="Calibri"/>
    </w:rPr>
  </w:style>
  <w:style w:type="paragraph" w:styleId="868" w:customStyle="1">
    <w:name w:val="Знак1"/>
    <w:basedOn w:val="85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869">
    <w:name w:val="Balloon Text"/>
    <w:basedOn w:val="857"/>
    <w:link w:val="8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858"/>
    <w:link w:val="86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71" w:customStyle="1">
    <w:name w:val="Знак Знак1 Знак Знак"/>
    <w:basedOn w:val="85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872">
    <w:name w:val="Table Grid"/>
    <w:basedOn w:val="85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>
    <w:name w:val="footnote text"/>
    <w:basedOn w:val="857"/>
    <w:link w:val="87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4" w:customStyle="1">
    <w:name w:val="Текст сноски Знак"/>
    <w:basedOn w:val="858"/>
    <w:link w:val="873"/>
    <w:uiPriority w:val="99"/>
    <w:semiHidden/>
    <w:rPr>
      <w:rFonts w:ascii="Calibri" w:hAnsi="Calibri" w:eastAsia="Times New Roman" w:cs="Calibri"/>
      <w:sz w:val="20"/>
      <w:szCs w:val="20"/>
    </w:rPr>
  </w:style>
  <w:style w:type="character" w:styleId="875">
    <w:name w:val="footnote reference"/>
    <w:basedOn w:val="858"/>
    <w:uiPriority w:val="99"/>
    <w:semiHidden/>
    <w:unhideWhenUsed/>
    <w:rPr>
      <w:vertAlign w:val="superscript"/>
    </w:rPr>
  </w:style>
  <w:style w:type="character" w:styleId="876">
    <w:name w:val="Hyperlink"/>
    <w:basedOn w:val="858"/>
    <w:uiPriority w:val="99"/>
    <w:unhideWhenUsed/>
    <w:rPr>
      <w:color w:val="0000ff" w:themeColor="hyperlink"/>
      <w:u w:val="single"/>
    </w:rPr>
  </w:style>
  <w:style w:type="paragraph" w:styleId="877" w:customStyle="1">
    <w:name w:val="Знак Знак1 Знак Знак"/>
    <w:basedOn w:val="85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B143-42E9-45A2-94B9-B05365DC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naa</dc:creator>
  <cp:lastModifiedBy>eash</cp:lastModifiedBy>
  <cp:revision>697</cp:revision>
  <dcterms:created xsi:type="dcterms:W3CDTF">2017-04-07T05:38:00Z</dcterms:created>
  <dcterms:modified xsi:type="dcterms:W3CDTF">2025-04-14T06:01:13Z</dcterms:modified>
</cp:coreProperties>
</file>