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/>
        <w:widowControl w:val="off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Пояснительная записка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sz w:val="28"/>
          <w:szCs w:val="28"/>
          <w:lang w:eastAsia="ru-RU"/>
        </w:rPr>
      </w:r>
    </w:p>
    <w:p>
      <w:pPr>
        <w:ind w:firstLine="709"/>
        <w:spacing w:after="0"/>
        <w:rPr>
          <w:rFonts w:ascii="Times New Roman" w:hAnsi="Times New Roman" w:cs="Times New Roman"/>
          <w:sz w:val="20"/>
          <w:szCs w:val="28"/>
          <w:highlight w:val="yellow"/>
        </w:rPr>
      </w:pPr>
      <w:r>
        <w:rPr>
          <w:rFonts w:ascii="Times New Roman" w:hAnsi="Times New Roman" w:cs="Times New Roman"/>
          <w:sz w:val="20"/>
          <w:szCs w:val="28"/>
          <w:highlight w:val="yellow"/>
        </w:rPr>
      </w:r>
      <w:r>
        <w:rPr>
          <w:rFonts w:ascii="Times New Roman" w:hAnsi="Times New Roman" w:cs="Times New Roman"/>
          <w:sz w:val="20"/>
          <w:szCs w:val="28"/>
          <w:highlight w:val="yellow"/>
        </w:rPr>
      </w:r>
      <w:r>
        <w:rPr>
          <w:rFonts w:ascii="Times New Roman" w:hAnsi="Times New Roman" w:cs="Times New Roman"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программа «Стимулирование развития жилищного строительства в Оренбургской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госпрограмма) </w:t>
      </w:r>
      <w:r>
        <w:rPr>
          <w:rFonts w:ascii="Times New Roman" w:hAnsi="Times New Roman" w:cs="Times New Roman"/>
          <w:sz w:val="28"/>
          <w:szCs w:val="28"/>
        </w:rPr>
        <w:t xml:space="preserve">утверждена постановлением Правите</w:t>
      </w:r>
      <w:r>
        <w:rPr>
          <w:rFonts w:ascii="Times New Roman" w:hAnsi="Times New Roman" w:cs="Times New Roman"/>
          <w:sz w:val="28"/>
          <w:szCs w:val="28"/>
        </w:rPr>
        <w:t xml:space="preserve">льства Оренбургской области от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834</w:t>
      </w:r>
      <w:r>
        <w:rPr>
          <w:rFonts w:ascii="Times New Roman" w:hAnsi="Times New Roman" w:cs="Times New Roman"/>
          <w:sz w:val="28"/>
          <w:szCs w:val="28"/>
        </w:rPr>
        <w:t xml:space="preserve">-пп.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</w:t>
      </w:r>
      <w:r>
        <w:rPr>
          <w:rFonts w:ascii="Times New Roman" w:hAnsi="Times New Roman" w:cs="Times New Roman"/>
          <w:sz w:val="28"/>
          <w:szCs w:val="28"/>
        </w:rPr>
        <w:t xml:space="preserve">гос</w:t>
      </w:r>
      <w:r>
        <w:rPr>
          <w:rFonts w:ascii="Times New Roman" w:hAnsi="Times New Roman" w:cs="Times New Roman"/>
          <w:sz w:val="28"/>
          <w:szCs w:val="28"/>
        </w:rPr>
        <w:t xml:space="preserve">программы является повышение доступности и комфортности жилья, качества жилищного обеспечения населения.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</w:pP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На реализацию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структурных элементов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госпрограммы в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бюджете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Оренбургской области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на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20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год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в соответствии с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СБР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предусмотрено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3 462 780,</w:t>
      </w:r>
      <w:r>
        <w:rPr>
          <w:rFonts w:ascii="Times New Roman" w:hAnsi="Times New Roman" w:cs="Times New Roman"/>
          <w:spacing w:val="-4"/>
          <w:sz w:val="28"/>
          <w:szCs w:val="28"/>
          <w:highlight w:val="none"/>
        </w:rPr>
        <w:t xml:space="preserve">7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 тыс. рублей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ассигнований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Освоение средств (кассовые расходы) составило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317 144,2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тыс. рублей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% от СБР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Мониторинг выполнения задач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структурных элементов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ведется в соответствии с планом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госпрограммы.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подробная информация о достижении значений показателей госпрограммы,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структурных элементов госпрограммы;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использовании бюджетных ассигнований на ее реализацию в разрезе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структурных элементов; о 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оде выполнения плана реализации госпрограммы; об оценке достижения органами местного самоуправления муниципальных образований области результатов использования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представлена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прилагаемых таблицах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Cs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sz w:val="28"/>
          <w:szCs w:val="28"/>
          <w:highlight w:val="yellow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Региональный проект «Жилье»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after="0"/>
        <w:rPr>
          <w:rFonts w:ascii="Times New Roman" w:hAnsi="Times New Roman" w:cs="Times New Roman"/>
          <w:b w:val="0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Задач</w:t>
      </w:r>
      <w:r>
        <w:rPr>
          <w:rFonts w:ascii="Times New Roman" w:hAnsi="Times New Roman" w:cs="Times New Roman"/>
          <w:b w:val="0"/>
          <w:bCs w:val="0"/>
          <w:i/>
          <w:iCs/>
          <w:color w:val="000000" w:themeColor="text1"/>
          <w:sz w:val="28"/>
          <w:szCs w:val="28"/>
          <w:highlight w:val="none"/>
        </w:rPr>
        <w:t xml:space="preserve">а 1 «Улучшены жилищные условия граждан Российской Федерации за счет повышения обеспеченности жильем до 33 кв. метров к 2030 году, обновления жилищного фонда до 20 % в сравнении с 2019 годом, повышения доступности жилья, а также сокращения аварийного жилья»</w:t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рамках результата «Расселен непригодный для проживания жилищный фонд» финансовое обеспечение и контрактация отсутствует.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связи с внедрением новых механизмов расселения аварийного жилищного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фонда на федераль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ном уровне заявка на предоставление финансовой поддержки публично-право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вой компании «Фонд развития территорий» (далее – Фонд) не направлялась. Соглашение с Фондом на предоставление и использование финансовой поддержки за счет средств Фонда на переселение граждан из аварийного жилищного фонда в настоящий момент не заключено.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рамках результата «Обеспечен ввод жилья в Оренбургской области»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За январь-июнь 2025 года по данным статистики Оренбургской области: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65"/>
        <w:numPr>
          <w:ilvl w:val="0"/>
          <w:numId w:val="5"/>
        </w:numPr>
        <w:ind w:left="0" w:right="0"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введено в эксплуатацию 614,6 тыс. кв. метров жилья (96 % к аналогичному периоду 2024 года – 639,9 тыс. кв. метров). Плановый показатель выполнен на 52 %;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65"/>
        <w:numPr>
          <w:ilvl w:val="0"/>
          <w:numId w:val="5"/>
        </w:numPr>
        <w:ind w:left="0" w:right="0"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доля жилищного фонда, обновленного после 2019 года составляет 10,34 %. Плановый показатель выполнен на 92,3 %;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65"/>
        <w:numPr>
          <w:ilvl w:val="0"/>
          <w:numId w:val="5"/>
        </w:numPr>
        <w:ind w:left="0" w:right="0"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общая площадь жилых помещений, приходящаяся в среднем на одного жителя составляет 31,65 кв. метров на человека. Плановый показатель выполнен на 99 %.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Реализация инфраструктурных проектов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1 «Создание объектов инфраструктуры в целях реализации инфраструктурных проектов»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соответствии с СБР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предусмотрена субсидия бюджетам муниципальных образований в объеме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1 273 714,2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. рублей на финансирование строительства транспортной развязки на пересечении улицы Гаранькина и Загородного шоссе           в г. Оренбурге в целях реализации инфраструктурных проектов.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Финансирование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I полугодии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года не осуществлялось.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highlight w:val="none"/>
        </w:rPr>
        <w:t xml:space="preserve">адача 2 «Создание объектов инфраструктуры в целях реализации масштабного инвестиционного проекта»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предусмотрена субсидия в объеме 445 000,0 тыс. рублей АО «Специализированный застройщик «Сельский дом» в виде вклада в денежной форме в имущество, не увеличивающий его уставный капитал в целях реализации масштабного инвест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иционного проекта «Строительство жилых домов для граждан, в том числе пострадавших при паводке в г. Орске» на финансирование мероприятий по технологическому присоединению к инженерным сетям, строительству объектов коммунальной, транспортной инфраструктуры.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Контрактация составила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100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%.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Объем финансирования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полугодии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текущего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года составил 39 746,0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 рублей (8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,9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% от лимита).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 арендного (наемного) жилищного фонда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Восстановление прав граждан – участников долевого строительства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sz w:val="20"/>
          <w:szCs w:val="28"/>
          <w:highlight w:val="yellow"/>
        </w:rPr>
      </w:pP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  <w:r>
        <w:rPr>
          <w:rFonts w:ascii="Times New Roman" w:hAnsi="Times New Roman" w:cs="Times New Roman"/>
          <w:b/>
          <w:bCs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1 «Развитие арендного (наемного) жилищного фонда»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соответствии с постановлением Правительства Оренбургской области                         от 27.11.2014 № 910-п «О предоставлении жилых помещений жилищного фонда коммерческого использования Оренбургской области» за период с 01.01.2025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                   по 30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.06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.2025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комиссией рассмотрено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заявлений, из которых: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по 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– приняты положительные решения 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предоставлении жилых помещений.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При этом: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заявителя расторгли договоры, и на эти жилые помещения был снова объявлен прием документов.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 30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.06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.202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138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квартир наход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тся в пользовании граждан по договорам найма жилищного фонда коммерческого использования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(98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% от плана –                  140 квартир).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2 «Восстановление прав граждан – участников долевого строительства, права которых нарушены застройщиками»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 реализацию задачи в текущем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году бюджетные ассигнования не предусмотрены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 01.07.2025 в ЕРПО по Оренбургской области многоквартирных домов не имеется.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</w:p>
    <w:p>
      <w:pPr>
        <w:ind w:firstLine="709"/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 системы градорегулирования 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Оренбургской области»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color w:val="ff0000"/>
          <w:sz w:val="20"/>
          <w:szCs w:val="28"/>
          <w:highlight w:val="yellow"/>
        </w:rPr>
      </w:pPr>
      <w:r>
        <w:rPr>
          <w:rFonts w:ascii="Times New Roman" w:hAnsi="Times New Roman" w:cs="Times New Roman"/>
          <w:color w:val="ff0000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ff0000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ff0000"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Задача 1 «Разработка проектов в области градостроительной деятельности для нужд Оренбургской области»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редусмотрены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бюджетные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ассигнования в объеме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1 737,7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. рублей.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з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ь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ы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х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ц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инистерством заключен государс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твенный контракт от 03.02.2025 с ООО «Региональный кадастровый центр» на подготовку проекта «Внесение изменений в схему территориального планирования Оренбургской области» со стоимостью работ 889,3 тыс. рублей и завершением работ в сентябре текущего года.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По итогам работы за I полугодие текущего года подрядчиком осуществлены сбор, анализ, обобщение и систематизация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исходных данных, проведен комплексный анализ состояния и использования территорий, представлены на проверку материалы проекта.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Финансирование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полугодии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года не осуществлялось.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Задача 2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Оказание содействия муниципальным образованиям в подготовке документов в области градостроительной деятельности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tabs>
          <w:tab w:val="left" w:pos="709" w:leader="none"/>
        </w:tabs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редусмотрены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бюджетные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ассигнования в объеме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    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1 782,7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. рублей.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По итогам работы за I полугодие текущего года муниципальными образованиями Оренбургской области заключено 5 муниципальных контрактов на общую сумму 1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 403,9 тыс. рублей на проведение работ по внесен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ию изменений в генеральные планы и правила землепользования и застройки одного городского округа (г. Бузулук) и трех сельских поселений (Аксютинский, Воздвиженский, Кислинский сельсоветы Асекеевского района) с завершением работ в IV квартале текущего года.</w:t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Финансирование 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полугодии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 года не осуществлялось.</w:t>
      </w:r>
      <w:r>
        <w:rPr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Задача 3</w: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Оказание содействия муниципальным образованиям в подготовке документов для внесения сведений в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Единый государственный реестр недвижимости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 реализацию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задачи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в текущем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году бюджетные ассигнования не предусмотрены.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4 «Участие в разработке и реализации документации по планированию развития территорий муниципальных об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разований Оренбургской области»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редусмотрены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бюджетные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ассигнования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80 012,3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Министерством архитектуры и пространственно-градостроительного развития Оренбургской области (далее – минархитектуры Оренбургской области) в рамках достижения результатов комплекса процессных мероприятий в отчетном периоде, осуществлялись: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мониторинг и регулирование архитектурной деятельности на территории Оренбургской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разработка проектов нормативных правовых актов в сфере архитектурно-строительной деятельности;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публикация пресс-релизов, информационных материалов, размещаемых                 в информационно-коммуникационной сети «Интернет» о мероприятиях, реализуемых в рамках развития архитектуры и градостроительства в Оренбургской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консультативная деятельность по актуальным направ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лениям градостроительного развития территорий муниципальных образований Оренбургской области, а также по вопросам реализации федерального законодательства, нормативных правовых актов органов местного самоуправления в сфере архитектуры и градостроительства;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прием граждан, организаций, должностных лиц администраций муниципальных образований Оренбургской области по вопросам архитектуры и градостроительства;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рассмотрение обращений физических и юридических лиц по вопросам градостроительной и архитектурной деятельности на территории Оренбургской области.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Минархитектурой Оренбургской области в рамках достижения результатов поставленных задач осуществлялись: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организация и проведение заседания Архитектурно-градостроительного совета при Губернаторе Оренбургской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привлечение граждан в решение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вопросов развития архитектурно-пространственной среды посредством публикаций информационных материалов, размещаемых в информационно-коммуникационной сети «Интернет», связанных с вопросами архитектуры и градостроительства на территории Оренбургской области;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– мониторинг участия граждан, проживающих на территории Оренбургской области, в мероприятиях по развитию архи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тектурно-пространственной среды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Объем финансирования в </w:t>
      </w:r>
      <w:r>
        <w:rPr>
          <w:rFonts w:ascii="Times New Roman" w:hAnsi="Times New Roman" w:cs="Times New Roman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полугодии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текущего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года составил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32 866,9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тыс. рублей (41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,1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%).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5 «Реализация отдельных полномочий органов местного самоуправления муниципального образования город Оренбург в области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градостроительной деятельности»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Приказом минархитектуры Оренбургской области от 28.03.2025 № 36/47-од утверждены правила землепользования и застройки муниципального образования город Оренбург Оренбургской области.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6 «Реализация отдельных полномочий органов местного самоуправления муниципального образования Оренбургский район в области градостроительной деятельности»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Минархитектуры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контрольных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б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заключен государственный контракт № 10 от 18.03.2025 (сумма                    4 800,0 тыс. рублей) на разработку генерального плана и правил землепользования и застройки муниципального образования «Красноуральский сельсовет Оренбургского района».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данный момент осуществляется исполнение и приемка выполненных работ. Срок действия контракта – до 31.12.2025.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целом на реализацию задач № 5, № 6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данного комплекса процессных мероприятий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СБР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предусмотрены бюджетные ассигнования в размере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62 198,5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Объем финансирования в </w:t>
      </w:r>
      <w:r>
        <w:rPr>
          <w:rFonts w:ascii="Times New Roman" w:hAnsi="Times New Roman" w:cs="Times New Roman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полугодии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текущего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года составил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6 847,2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тыс. рублей (1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1,0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%).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Задача 7 «Организация проведения и участия в выставочных, конкурсных, презентационных мероприятий в сфере архитектуры, градостроительства и пространственного развития»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соответствии с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СБР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реду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смотрены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бюджетные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ассигнования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10 500,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0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полугодии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щ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г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министерство приняло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ч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V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ф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естивале «Архитектурное наследие 2025»; выставке «Строительный салон: стройка, ремонт, благоустройство – 2025».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III квартале текущего года минархитектуры Оренбургской области планируется проведение архитектурной выставки «Меняя взгляд».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IV квартале текущего года планируется принять участие в XXXIII Международном архитектурном фестивале «Зодчество 2025».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Объем финансирования в </w:t>
      </w:r>
      <w:r>
        <w:rPr>
          <w:rFonts w:ascii="Times New Roman" w:hAnsi="Times New Roman" w:cs="Times New Roman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полугодии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текущего 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года составил 204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,5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тыс. рублей (1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,9</w:t>
      </w:r>
      <w:r>
        <w:rPr>
          <w:rFonts w:ascii="Times New Roman" w:hAnsi="Times New Roman" w:cs="Times New Roman"/>
          <w:sz w:val="28"/>
          <w:szCs w:val="28"/>
          <w:highlight w:val="none"/>
          <w:lang w:eastAsia="ru-RU"/>
        </w:rPr>
        <w:t xml:space="preserve"> %).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jc w:val="center"/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«Обеспечение реализации государственной программы»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szCs w:val="28"/>
          <w:highlight w:val="yellow"/>
        </w:rPr>
      </w:pPr>
      <w:r>
        <w:rPr>
          <w:rFonts w:ascii="Times New Roman" w:hAnsi="Times New Roman" w:cs="Times New Roman"/>
          <w:sz w:val="20"/>
          <w:szCs w:val="28"/>
          <w:highlight w:val="yellow"/>
        </w:rPr>
      </w:r>
      <w:r>
        <w:rPr>
          <w:rFonts w:ascii="Times New Roman" w:hAnsi="Times New Roman" w:cs="Times New Roman"/>
          <w:sz w:val="20"/>
          <w:szCs w:val="28"/>
          <w:highlight w:val="yellow"/>
        </w:rPr>
      </w:r>
      <w:r>
        <w:rPr>
          <w:rFonts w:ascii="Times New Roman" w:hAnsi="Times New Roman" w:cs="Times New Roman"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1 «Повышение эффективности регионального государственного строительного надзора»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val="en-US"/>
        </w:rPr>
        <w:t xml:space="preserve">II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квартал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года должностными лицами инспекции государственного строительного надзора Оренбургской области: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–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проконтролировано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устранен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ие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20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нарушений градостроительного законодательства, выявленных по результатам проверок строящихся, реконструируемых объектов капитального строительства;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– выдано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установленный срок 43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заключения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о соответствии построенного, реконструированного объекта капитального строительства требованиям, указанным в части 16 статьи 54 Градостроительного кодекса Российской Федерации.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2 «Повышение эффективности контроля (надзора) в области долевого строительства многоквартирных жилых домов и (или) иных объектов недвижимости на территории Оренбургской области»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За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val="en-US"/>
        </w:rPr>
        <w:t xml:space="preserve">II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квартал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года должностными лицами инспекции государственного строительного надзора Оренбургской области: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– проведено 67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профилактических мероприяти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й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в отношении застройщиков, привлекающих денежные средства участников долевого строительства;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– проанализировано 12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проектных деклараций застройщиков, привлекающих денежные средства участников долевого строительства для строительства (создания) многоквартирных домов и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или) иных объектов недвижимости.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целом на реализацию задач № 1, № 2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данного комплекса процессных мероприятий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в соответствии с СБР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предусмотрены бюджетные ассигнования в размере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68 166,2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Объем финансирования в 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полугодии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года составил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22 748,5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тыс. рублей (33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,4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%).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3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  <w:t xml:space="preserve">Финансовое обеспечение деятельности органа исполнительн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  <w:t xml:space="preserve">ой власти и выполнения государственного задания учреждением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На оказание государственных услуг (выполнение работ) в сфере строительства и капитального ремонта в соответствии с СБР предусмотрены бюджетные ассигнования в размере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48 683,7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тыс.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рублей.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В I полугодии текущего года подписано 83 акта по оказанию услуг по ведению строительного контроля на территории Оренбургской области на объектах подлежащих р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конструкции, капитальному ремонту.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На объекте, где Управление капитального строительного Оренбургской области является заказчиком, продолжается исполнение заключенных контрактов: выполнение проектно-изыскательских работ по объекту капитального строительств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а «Администрати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вно-технический комплекс в г. Оренбурге», выполнение проектно-изыскательских и строительно-монтажных работ по объекту капитального строительства «Физкультурно-оздоровительный комплекс в с. Ивановка Оренбургского района Оренбургской области».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Объем финансирования в I полугодии текущего года составил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24 905,2 тыс.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рублей (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51,2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%).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На расходы министерства строительства, жилищно-коммунального, дорожного хозяйства и транспорта Оренбургской области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соответствии с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СБР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предусмотрен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ы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бюджетны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ассигновани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в размере 228 453,1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тыс. рублей, кассовый расход произведен на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100 046,1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тыс. рублей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(43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,8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% от плана)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«Развитие ипотечного жилищного кредитования в Оренбургской области»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sz w:val="20"/>
          <w:highlight w:val="yellow"/>
        </w:rPr>
      </w:pPr>
      <w:r>
        <w:rPr>
          <w:rFonts w:ascii="Times New Roman" w:hAnsi="Times New Roman" w:cs="Times New Roman"/>
          <w:sz w:val="20"/>
          <w:highlight w:val="yellow"/>
        </w:rPr>
      </w:r>
      <w:r>
        <w:rPr>
          <w:rFonts w:ascii="Times New Roman" w:hAnsi="Times New Roman" w:cs="Times New Roman"/>
          <w:sz w:val="20"/>
          <w:highlight w:val="yellow"/>
        </w:rPr>
      </w:r>
      <w:r>
        <w:rPr>
          <w:rFonts w:ascii="Times New Roman" w:hAnsi="Times New Roman" w:cs="Times New Roman"/>
          <w:sz w:val="20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  <w:t xml:space="preserve">Задача 1 «Создание условий для повышения доступности ипотечных жилищных кредитов для населения Оренбургской области»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соответствии с СБР 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редусмотрены бюджетны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 объеме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27 204,8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По состоянию на 01.07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.202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а выданы свидетельства о предоставлении социальной выплаты на уплату первоначального взноса при получении ипотечного жилищного кредита на приобретение жилья или его части за счет средств областного бюджета 26-ти семьям на общую сумму 26 608,85 тыс. рублей.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Улучшили жилищные условия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18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семей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на сумму 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18 251,4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тыс. рублей                   (67,1</w:t>
      </w: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 % от плана).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Задача 2 «Создание условий для повышения доступности ипотечных жилищ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  <w:lang w:eastAsia="ru-RU"/>
        </w:rPr>
        <w:t xml:space="preserve">ных кредитов для сотрудников аккредитованных Минцифры России ИТ-компаний»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 реализацию задачи в текущем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году бюджетные ассигнования не предусмотрены.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yellow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«Переселение граждан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из аварийного жилищного фонда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Оренбургской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1 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Переселение граждан из МКД,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признанных аварийными до 1 января 2022 года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соответствии с СБР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предусмотрены средства областного бюджета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232 693,3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, в том числе средства Фонда – 135 776,5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рублей, средства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областного бюджета – 96 916,8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рублей.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Плановое значение результата – 5,67 тыс. кв. метров.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Финансирование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val="en-US" w:eastAsia="ru-RU"/>
        </w:rPr>
        <w:t xml:space="preserve">I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полугодии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текущего года не осуществлялось.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 «Переселение граждан из домов блокированной застройки, признанн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ых аварийными»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предусмотрены средства областного бюджета в объеме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52 377,4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рублей (постановление Правительства Оренбургской области от 13.02.2025 № 114-пп).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Плановое значение результата – 0,874 тыс. кв. метров.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 I полугодие текущего года расселено 0,263 тыс. кв. метров (30,1 % от плана).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Контрактация составила 40 %.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Объем финансирования в I полугодии текущего года составил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20 459,5 тыс.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рублей (39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,1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% от лимита).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Задача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 «Переселение граждан из 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МКД, признанных аварийными после 1 января 2022 года, находящихся под угрозой обрушения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соответствии с СБР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предусмотрены средства областного бюджета в объеме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             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8 896,8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тыс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. рублей (постановление Правительства Оренбургской области от 13.02.2025 № 113-пп).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Плановое значение результата – 1,028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тыс. кв. метров.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За I полугодие текущего года расселено 0,631 тыс. кв. метров (61,4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% от плана).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left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Контрактация составила 61,4 %.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Объем финансирования в I полугодии текущего года составил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 40 769,6 тыс.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рублей (59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,2 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  <w:t xml:space="preserve">% от лимита).</w:t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 w:eastAsiaTheme="minorHAnsi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Задача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 «Пер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есе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ление граждан из жилых домов (жилых помещений), признанных аварийными, расположенных на территории исторического поселения регионального значения город Оренбург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  <w:t xml:space="preserve">»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На реализацию задачи в текущем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 году бюджетные ассигнования не предусмотрены.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lang w:eastAsia="ru-RU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Комплекс процессных мероприятий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Создание объектов инфраструктуры в целях реализации проектов по развитию территорий, расположенных в границах населенных пунктов, предусматривающих строительство жилья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spacing w:after="0"/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0"/>
          <w:szCs w:val="28"/>
          <w:highlight w:val="yellow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Задача 1 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Создание объектов инфраструктуры в целях реализации проектов по развитию территорий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соответствии с СБР пред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усмотрена субсидия бюджетам муниципальных образований в объеме 831 360,0 тыс. рублей на создание объектов инфраструктуры в целях реализации проектов по развитию территорий, расположенных в границах населенных пунктов, предусматривающих строительство жилья.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В 2025 году предусмотрено финансирование строительства объектов: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«Строительство магистрали районного значения, соединяющей ул. Степана Разина и Загородное шоссе, (Дублер ул. Чкалова) в г. Оренбурге. 1 этап»;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«Магистраль районного значения, соединяющая ул. Степана Разина и Загородное шоссе, (Дублер ул. Чкалова) в г. Оренбурге. 3 этап»;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«Магистраль районного значения,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соединяющая ул. Степана Разина и Загородное шоссе, (Дублер ул. Чкалова) в г. Оренбурге. 2 этап»;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«Магистраль районного значения, соединяющая ул. Степана Разина и Загородное шоссе, (Дублер ул. Чкалова) в г. Оренбурге. 1.1 этап»;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«Магистраль районного значения, соединяющая ул. Степана Разина и Загородное шоссе, (Дублер ул. Чкалова) в г. Оренбурге. 1.2 этап».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Контрактация объектов составила 100 %.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  <w:lang w:eastAsia="ru-RU"/>
        </w:rPr>
        <w:t xml:space="preserve">Финансирование в I полугодии текущего года не осуществлялось.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/>
        <w:widowControl w:val="off"/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Задача 2 «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Создание объектов инженерной инфраструктуры к земельным участкам, предоставляемым многодетным семьям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:lang w:eastAsia="ru-RU"/>
        </w:rPr>
        <w:t xml:space="preserve">В 2025 году предусмотрены средства областного бюджета в объеме                         30 000,0 тыс. рублей.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14:ligatures w14:val="none"/>
        </w:rPr>
        <w:t xml:space="preserve">Администрацией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14:ligatures w14:val="none"/>
        </w:rPr>
        <w:t xml:space="preserve">Гайского муниципального округа заключен муниципальный контракт с ООО «СК ИНТЕРСТРОЙ» от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14:ligatures w14:val="none"/>
        </w:rPr>
        <w:t xml:space="preserve">18.03.2025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  <w14:ligatures w14:val="none"/>
        </w:rPr>
        <w:t xml:space="preserve">№ 0853500000325000661 на строительство инженерных сетей и благоустройства Юго-Западного жилого района (микрорайон № IX) г. Гая Оренбургской области. 1 этап строительства. Канализация К1 на сумму 25 000,0 тыс. рублей.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Объем финансирования в I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полугодии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текущего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года составил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10 299,4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тыс. рублей (34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,3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none"/>
        </w:rPr>
        <w:t xml:space="preserve"> %).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567" w:bottom="709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298489144"/>
      <w:docPartObj>
        <w:docPartGallery w:val="Page Numbers (Top of Page)"/>
        <w:docPartUnique w:val="true"/>
      </w:docPartObj>
      <w:rPr/>
    </w:sdtPr>
    <w:sdtContent>
      <w:p>
        <w:pPr>
          <w:pStyle w:val="866"/>
          <w:jc w:val="center"/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/>
      </w:p>
    </w:sdtContent>
  </w:sdt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59"/>
    <w:next w:val="859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0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59"/>
    <w:next w:val="859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0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59"/>
    <w:next w:val="859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0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59"/>
    <w:next w:val="859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59"/>
    <w:next w:val="859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0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59"/>
    <w:next w:val="859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0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59"/>
    <w:next w:val="859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0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59"/>
    <w:next w:val="859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0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59"/>
    <w:next w:val="859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0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59"/>
    <w:next w:val="859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0"/>
    <w:link w:val="707"/>
    <w:uiPriority w:val="10"/>
    <w:rPr>
      <w:sz w:val="48"/>
      <w:szCs w:val="48"/>
    </w:rPr>
  </w:style>
  <w:style w:type="paragraph" w:styleId="709">
    <w:name w:val="Subtitle"/>
    <w:basedOn w:val="859"/>
    <w:next w:val="859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0"/>
    <w:link w:val="709"/>
    <w:uiPriority w:val="11"/>
    <w:rPr>
      <w:sz w:val="24"/>
      <w:szCs w:val="24"/>
    </w:rPr>
  </w:style>
  <w:style w:type="paragraph" w:styleId="711">
    <w:name w:val="Quote"/>
    <w:basedOn w:val="859"/>
    <w:next w:val="859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59"/>
    <w:next w:val="859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character" w:styleId="715">
    <w:name w:val="Header Char"/>
    <w:basedOn w:val="860"/>
    <w:link w:val="866"/>
    <w:uiPriority w:val="99"/>
  </w:style>
  <w:style w:type="character" w:styleId="716">
    <w:name w:val="Footer Char"/>
    <w:basedOn w:val="860"/>
    <w:link w:val="868"/>
    <w:uiPriority w:val="99"/>
  </w:style>
  <w:style w:type="paragraph" w:styleId="717">
    <w:name w:val="Caption"/>
    <w:basedOn w:val="859"/>
    <w:next w:val="859"/>
    <w:link w:val="7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8">
    <w:name w:val="Caption Char"/>
    <w:basedOn w:val="860"/>
    <w:link w:val="717"/>
    <w:uiPriority w:val="35"/>
    <w:rPr>
      <w:b/>
      <w:bCs/>
      <w:color w:val="4f81bd" w:themeColor="accent1"/>
      <w:sz w:val="18"/>
      <w:szCs w:val="18"/>
    </w:rPr>
  </w:style>
  <w:style w:type="table" w:styleId="719">
    <w:name w:val="Table Grid Light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5">
    <w:name w:val="Grid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0">
    <w:name w:val="Grid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4">
    <w:name w:val="Footnote Text Char"/>
    <w:link w:val="875"/>
    <w:uiPriority w:val="99"/>
    <w:rPr>
      <w:sz w:val="18"/>
    </w:rPr>
  </w:style>
  <w:style w:type="paragraph" w:styleId="845">
    <w:name w:val="endnote text"/>
    <w:basedOn w:val="85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>
    <w:name w:val="Endnote Text Char"/>
    <w:link w:val="845"/>
    <w:uiPriority w:val="99"/>
    <w:rPr>
      <w:sz w:val="20"/>
    </w:rPr>
  </w:style>
  <w:style w:type="character" w:styleId="847">
    <w:name w:val="endnote reference"/>
    <w:basedOn w:val="860"/>
    <w:uiPriority w:val="99"/>
    <w:semiHidden/>
    <w:unhideWhenUsed/>
    <w:rPr>
      <w:vertAlign w:val="superscript"/>
    </w:rPr>
  </w:style>
  <w:style w:type="paragraph" w:styleId="848">
    <w:name w:val="toc 1"/>
    <w:basedOn w:val="859"/>
    <w:next w:val="859"/>
    <w:uiPriority w:val="39"/>
    <w:unhideWhenUsed/>
    <w:pPr>
      <w:ind w:left="0" w:right="0" w:firstLine="0"/>
      <w:spacing w:after="57"/>
    </w:pPr>
  </w:style>
  <w:style w:type="paragraph" w:styleId="849">
    <w:name w:val="toc 2"/>
    <w:basedOn w:val="859"/>
    <w:next w:val="859"/>
    <w:uiPriority w:val="39"/>
    <w:unhideWhenUsed/>
    <w:pPr>
      <w:ind w:left="283" w:right="0" w:firstLine="0"/>
      <w:spacing w:after="57"/>
    </w:pPr>
  </w:style>
  <w:style w:type="paragraph" w:styleId="850">
    <w:name w:val="toc 3"/>
    <w:basedOn w:val="859"/>
    <w:next w:val="859"/>
    <w:uiPriority w:val="39"/>
    <w:unhideWhenUsed/>
    <w:pPr>
      <w:ind w:left="567" w:right="0" w:firstLine="0"/>
      <w:spacing w:after="57"/>
    </w:pPr>
  </w:style>
  <w:style w:type="paragraph" w:styleId="851">
    <w:name w:val="toc 4"/>
    <w:basedOn w:val="859"/>
    <w:next w:val="859"/>
    <w:uiPriority w:val="39"/>
    <w:unhideWhenUsed/>
    <w:pPr>
      <w:ind w:left="850" w:right="0" w:firstLine="0"/>
      <w:spacing w:after="57"/>
    </w:pPr>
  </w:style>
  <w:style w:type="paragraph" w:styleId="852">
    <w:name w:val="toc 5"/>
    <w:basedOn w:val="859"/>
    <w:next w:val="859"/>
    <w:uiPriority w:val="39"/>
    <w:unhideWhenUsed/>
    <w:pPr>
      <w:ind w:left="1134" w:right="0" w:firstLine="0"/>
      <w:spacing w:after="57"/>
    </w:pPr>
  </w:style>
  <w:style w:type="paragraph" w:styleId="853">
    <w:name w:val="toc 6"/>
    <w:basedOn w:val="859"/>
    <w:next w:val="859"/>
    <w:uiPriority w:val="39"/>
    <w:unhideWhenUsed/>
    <w:pPr>
      <w:ind w:left="1417" w:right="0" w:firstLine="0"/>
      <w:spacing w:after="57"/>
    </w:pPr>
  </w:style>
  <w:style w:type="paragraph" w:styleId="854">
    <w:name w:val="toc 7"/>
    <w:basedOn w:val="859"/>
    <w:next w:val="859"/>
    <w:uiPriority w:val="39"/>
    <w:unhideWhenUsed/>
    <w:pPr>
      <w:ind w:left="1701" w:right="0" w:firstLine="0"/>
      <w:spacing w:after="57"/>
    </w:pPr>
  </w:style>
  <w:style w:type="paragraph" w:styleId="855">
    <w:name w:val="toc 8"/>
    <w:basedOn w:val="859"/>
    <w:next w:val="859"/>
    <w:uiPriority w:val="39"/>
    <w:unhideWhenUsed/>
    <w:pPr>
      <w:ind w:left="1984" w:right="0" w:firstLine="0"/>
      <w:spacing w:after="57"/>
    </w:pPr>
  </w:style>
  <w:style w:type="paragraph" w:styleId="856">
    <w:name w:val="toc 9"/>
    <w:basedOn w:val="859"/>
    <w:next w:val="859"/>
    <w:uiPriority w:val="39"/>
    <w:unhideWhenUsed/>
    <w:pPr>
      <w:ind w:left="2268" w:right="0" w:firstLine="0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859"/>
    <w:next w:val="859"/>
    <w:uiPriority w:val="99"/>
    <w:unhideWhenUsed/>
    <w:pPr>
      <w:spacing w:after="0" w:afterAutospacing="0"/>
    </w:pPr>
  </w:style>
  <w:style w:type="paragraph" w:styleId="859" w:default="1">
    <w:name w:val="Normal"/>
    <w:qFormat/>
    <w:rPr>
      <w:rFonts w:ascii="Calibri" w:hAnsi="Calibri" w:eastAsia="Times New Roman" w:cs="Calibri"/>
    </w:rPr>
  </w:style>
  <w:style w:type="character" w:styleId="860" w:default="1">
    <w:name w:val="Default Paragraph Font"/>
    <w:uiPriority w:val="1"/>
    <w:semiHidden/>
    <w:unhideWhenUsed/>
  </w:style>
  <w:style w:type="table" w:styleId="8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2" w:default="1">
    <w:name w:val="No List"/>
    <w:uiPriority w:val="99"/>
    <w:semiHidden/>
    <w:unhideWhenUsed/>
  </w:style>
  <w:style w:type="paragraph" w:styleId="863" w:customStyle="1">
    <w:name w:val="Знак Знак1 Знак Знак"/>
    <w:basedOn w:val="859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864" w:customStyle="1">
    <w:name w:val="ConsNormal"/>
    <w:uiPriority w:val="99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18"/>
      <w:szCs w:val="18"/>
      <w:lang w:eastAsia="ru-RU"/>
    </w:rPr>
  </w:style>
  <w:style w:type="paragraph" w:styleId="865">
    <w:name w:val="List Paragraph"/>
    <w:basedOn w:val="859"/>
    <w:uiPriority w:val="99"/>
    <w:qFormat/>
    <w:pPr>
      <w:ind w:left="720"/>
    </w:pPr>
  </w:style>
  <w:style w:type="paragraph" w:styleId="866">
    <w:name w:val="Header"/>
    <w:basedOn w:val="859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60"/>
    <w:link w:val="866"/>
    <w:uiPriority w:val="99"/>
    <w:rPr>
      <w:rFonts w:ascii="Calibri" w:hAnsi="Calibri" w:eastAsia="Times New Roman" w:cs="Calibri"/>
    </w:rPr>
  </w:style>
  <w:style w:type="paragraph" w:styleId="868">
    <w:name w:val="Footer"/>
    <w:basedOn w:val="859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 w:customStyle="1">
    <w:name w:val="Нижний колонтитул Знак"/>
    <w:basedOn w:val="860"/>
    <w:link w:val="868"/>
    <w:uiPriority w:val="99"/>
    <w:rPr>
      <w:rFonts w:ascii="Calibri" w:hAnsi="Calibri" w:eastAsia="Times New Roman" w:cs="Calibri"/>
    </w:rPr>
  </w:style>
  <w:style w:type="paragraph" w:styleId="870" w:customStyle="1">
    <w:name w:val="Знак1"/>
    <w:basedOn w:val="859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871">
    <w:name w:val="Balloon Text"/>
    <w:basedOn w:val="859"/>
    <w:link w:val="87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2" w:customStyle="1">
    <w:name w:val="Текст выноски Знак"/>
    <w:basedOn w:val="860"/>
    <w:link w:val="871"/>
    <w:uiPriority w:val="99"/>
    <w:semiHidden/>
    <w:rPr>
      <w:rFonts w:ascii="Tahoma" w:hAnsi="Tahoma" w:eastAsia="Times New Roman" w:cs="Tahoma"/>
      <w:sz w:val="16"/>
      <w:szCs w:val="16"/>
    </w:rPr>
  </w:style>
  <w:style w:type="paragraph" w:styleId="873" w:customStyle="1">
    <w:name w:val="Знак Знак1 Знак Знак"/>
    <w:basedOn w:val="859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table" w:styleId="874">
    <w:name w:val="Table Grid"/>
    <w:basedOn w:val="86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5">
    <w:name w:val="footnote text"/>
    <w:basedOn w:val="859"/>
    <w:link w:val="87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76" w:customStyle="1">
    <w:name w:val="Текст сноски Знак"/>
    <w:basedOn w:val="860"/>
    <w:link w:val="875"/>
    <w:uiPriority w:val="99"/>
    <w:semiHidden/>
    <w:rPr>
      <w:rFonts w:ascii="Calibri" w:hAnsi="Calibri" w:eastAsia="Times New Roman" w:cs="Calibri"/>
      <w:sz w:val="20"/>
      <w:szCs w:val="20"/>
    </w:rPr>
  </w:style>
  <w:style w:type="character" w:styleId="877">
    <w:name w:val="footnote reference"/>
    <w:basedOn w:val="860"/>
    <w:uiPriority w:val="99"/>
    <w:semiHidden/>
    <w:unhideWhenUsed/>
    <w:rPr>
      <w:vertAlign w:val="superscript"/>
    </w:rPr>
  </w:style>
  <w:style w:type="character" w:styleId="878">
    <w:name w:val="Hyperlink"/>
    <w:basedOn w:val="860"/>
    <w:uiPriority w:val="99"/>
    <w:unhideWhenUsed/>
    <w:rPr>
      <w:color w:val="0000ff" w:themeColor="hyperlink"/>
      <w:u w:val="single"/>
    </w:rPr>
  </w:style>
  <w:style w:type="paragraph" w:styleId="879" w:customStyle="1">
    <w:name w:val="Знак Знак1 Знак Знак"/>
    <w:basedOn w:val="859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2B143-42E9-45A2-94B9-B05365DC1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naa</dc:creator>
  <cp:lastModifiedBy>eash</cp:lastModifiedBy>
  <cp:revision>722</cp:revision>
  <dcterms:created xsi:type="dcterms:W3CDTF">2017-04-07T05:38:00Z</dcterms:created>
  <dcterms:modified xsi:type="dcterms:W3CDTF">2025-07-14T09:32:29Z</dcterms:modified>
</cp:coreProperties>
</file>