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0"/>
        <w:gridCol w:w="280"/>
        <w:gridCol w:w="1020"/>
        <w:gridCol w:w="1100"/>
        <w:gridCol w:w="700"/>
        <w:gridCol w:w="700"/>
        <w:gridCol w:w="1400"/>
        <w:gridCol w:w="1100"/>
        <w:gridCol w:w="3080"/>
        <w:gridCol w:w="280"/>
        <w:gridCol w:w="840"/>
      </w:tblGrid>
      <w:tr>
        <w:trPr>
          <w:trHeight w:hRule="exact" w:val="11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24"/>
              </w:rPr>
              <w:t xml:space="preserve">Лист согласования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Документ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Письмо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Заголовок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Протокол заседания управляющего совета ГП "Обеспечение качественными услугами жилищно-коммунального хозяйства населения Оренбургской области"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Подпись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Полухин А.В., Заместитель председателя правительства Оренбургской области -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Исполнитель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Донских Е.А., Эксперт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Инициатор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Руководитель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Паслер Д.В., Губернатор - председатель Правительства Оренбургской области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Тип согласования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Парал.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Срок согласования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05.12.2023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Дата начала согласования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04.12.2023 12:54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Дата окончания согласования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04.12.2023 14:46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20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Комментарий инициатора: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Согласующий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Виза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Наименование организации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Должность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Дата, время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Данные об ЭП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Шумский А.В.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Департамент Оренбургской области по ценам и регулированию тарифов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Директор департамента Оренбургской области по ценам и регулированию тарифов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04.12.2023 14:46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70100" cy="825500"/>
                  <wp:wrapNone/>
                  <wp:docPr id="1110845871" name="Picture">
</wp:docPr>
                  <a:graphic>
                    <a:graphicData uri="http://schemas.openxmlformats.org/drawingml/2006/picture">
                      <pic:pic>
                        <pic:nvPicPr>
                          <pic:cNvPr id="1110845871" name="Picture"/>
                          <pic:cNvPicPr/>
                        </pic:nvPicPr>
                        <pic:blipFill>
                          <a:blip r:embed="img_0_0_20_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8255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участников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Шумский А.В. : комментарии не указаны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boldStyle">
    <w:name w:val="boldStyle"/>
    <w:qFormat/>
    <w:pPr>
      <w:ind/>
    </w:pPr>
    <w:rPr>
       </w:rPr>
  </w:style>
  <w:style w:type="paragraph" w:styleId="paddingStyle">
    <w:name w:val="paddingStyle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0_5" Type="http://schemas.openxmlformats.org/officeDocument/2006/relationships/image" Target="media/img_0_0_20_5.png"/>
</Relationships>

</file>