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92" w:rsidRPr="00F16FC3" w:rsidRDefault="00064C92" w:rsidP="00064C92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647D9" w:rsidRPr="006A24BA" w:rsidRDefault="003647D9" w:rsidP="006A24BA">
      <w:pPr>
        <w:widowControl/>
        <w:autoSpaceDE/>
        <w:autoSpaceDN/>
        <w:adjustRightInd/>
        <w:ind w:left="7080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№ 6 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к П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ротоколу заседания управляющего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 государственной программы</w:t>
      </w:r>
    </w:p>
    <w:p w:rsidR="003647D9" w:rsidRPr="006A24BA" w:rsidRDefault="00E7022C" w:rsidP="006A24BA">
      <w:pPr>
        <w:widowControl/>
        <w:autoSpaceDE/>
        <w:autoSpaceDN/>
        <w:adjustRightInd/>
        <w:ind w:left="991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«Формирование ком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фортной городской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среды в Оренбургской област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и»</w:t>
      </w:r>
    </w:p>
    <w:p w:rsidR="003647D9" w:rsidRPr="006A24BA" w:rsidRDefault="003647D9" w:rsidP="006A24BA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C92" w:rsidRPr="006A24BA" w:rsidRDefault="00064C92" w:rsidP="006A24BA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A24BA">
        <w:rPr>
          <w:rFonts w:ascii="Times New Roman" w:hAnsi="Times New Roman"/>
          <w:sz w:val="28"/>
          <w:szCs w:val="28"/>
        </w:rPr>
        <w:t>Сведения о методике расчета показателей государственной программы</w:t>
      </w:r>
      <w:r w:rsidR="00E7022C" w:rsidRPr="006A24BA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 в Оренбургской области»</w:t>
      </w:r>
      <w:r w:rsidRPr="006A24BA">
        <w:rPr>
          <w:rFonts w:ascii="Times New Roman" w:hAnsi="Times New Roman"/>
          <w:sz w:val="28"/>
          <w:szCs w:val="28"/>
        </w:rPr>
        <w:t xml:space="preserve"> </w:t>
      </w:r>
      <w:r w:rsidR="00C37EAB" w:rsidRPr="006A24BA">
        <w:rPr>
          <w:rFonts w:ascii="Times New Roman" w:hAnsi="Times New Roman"/>
          <w:sz w:val="28"/>
          <w:szCs w:val="28"/>
        </w:rPr>
        <w:t>и результатов структурных элементов</w:t>
      </w:r>
    </w:p>
    <w:tbl>
      <w:tblPr>
        <w:tblW w:w="1571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979"/>
        <w:gridCol w:w="1134"/>
        <w:gridCol w:w="1417"/>
        <w:gridCol w:w="2835"/>
        <w:gridCol w:w="1701"/>
        <w:gridCol w:w="1701"/>
        <w:gridCol w:w="1559"/>
        <w:gridCol w:w="1276"/>
        <w:gridCol w:w="1418"/>
      </w:tblGrid>
      <w:tr w:rsidR="005A7CA8" w:rsidRPr="006A24BA" w:rsidTr="007D1C6E">
        <w:tc>
          <w:tcPr>
            <w:tcW w:w="690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197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Наименование показателя (результат</w:t>
            </w:r>
            <w:r w:rsidR="00C37E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Уровень показателя/источник результата</w:t>
            </w:r>
          </w:p>
        </w:tc>
        <w:tc>
          <w:tcPr>
            <w:tcW w:w="1417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Единица измерения</w:t>
            </w:r>
            <w:r w:rsidR="00C37E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показателя (результата)</w:t>
            </w:r>
          </w:p>
        </w:tc>
        <w:tc>
          <w:tcPr>
            <w:tcW w:w="2835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Алгоритм формирования (формула) и методологические пояснения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Метод сбора информации, индекс формы отчетности</w:t>
            </w:r>
            <w:hyperlink r:id="rId8" w:anchor="/document/402701751/entry/666666" w:history="1"/>
          </w:p>
        </w:tc>
        <w:tc>
          <w:tcPr>
            <w:tcW w:w="155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276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Источник данных</w:t>
            </w:r>
          </w:p>
        </w:tc>
        <w:tc>
          <w:tcPr>
            <w:tcW w:w="1418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Срок представления годовой отчетной информации</w:t>
            </w:r>
          </w:p>
        </w:tc>
      </w:tr>
      <w:tr w:rsidR="005A7CA8" w:rsidRPr="006A24BA" w:rsidTr="007D1C6E">
        <w:tc>
          <w:tcPr>
            <w:tcW w:w="690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97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</w:tr>
      <w:tr w:rsidR="002B0366" w:rsidRPr="006A24BA" w:rsidTr="007D1C6E">
        <w:tc>
          <w:tcPr>
            <w:tcW w:w="690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2B0366" w:rsidRPr="00BC7D7D" w:rsidRDefault="002B0366" w:rsidP="0051371B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городов с благоприятной средой от общего количества городов (индекс качества городской среды - выше 50</w:t>
            </w:r>
            <w:r w:rsidR="00A15C19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%)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бг = (Кбг/Кг) х 100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достигнутым, в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Кбг - количество городов с благоприятной городской средой в отчетном году, единиц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2B0366" w:rsidRPr="004B037B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DB150C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2B0366" w:rsidRPr="006A24BA" w:rsidTr="007D1C6E">
        <w:tc>
          <w:tcPr>
            <w:tcW w:w="690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2B0366" w:rsidRPr="00BC7D7D" w:rsidRDefault="002B0366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Кг – общее число городов, для которых рассчитан индекс качества городской среды, единиц</w:t>
            </w: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2B0366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2B0366" w:rsidRPr="006A24BA" w:rsidRDefault="00490D5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DB150C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992E37" w:rsidRPr="006A24BA" w:rsidTr="007D1C6E">
        <w:tc>
          <w:tcPr>
            <w:tcW w:w="690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992E37" w:rsidRPr="00BC7D7D" w:rsidRDefault="00992E3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41EB8845" wp14:editId="03D7A619">
                  <wp:extent cx="981075" cy="2571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  <w:r w:rsidRPr="006A24B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992E3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992E3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992E37" w:rsidRPr="006A24BA" w:rsidTr="007D1C6E">
        <w:tc>
          <w:tcPr>
            <w:tcW w:w="690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992E37" w:rsidRPr="00BC7D7D" w:rsidRDefault="00992E3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 xml:space="preserve">N - количество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lastRenderedPageBreak/>
              <w:t>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7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992E3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министерство </w:t>
            </w:r>
            <w:r w:rsidRPr="004B03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992E3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в рамках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соглашений</w:t>
            </w:r>
          </w:p>
        </w:tc>
        <w:tc>
          <w:tcPr>
            <w:tcW w:w="1418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20 января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года, следующего за отчетным годом</w:t>
            </w:r>
          </w:p>
        </w:tc>
      </w:tr>
      <w:tr w:rsidR="00C14069" w:rsidRPr="006A24BA" w:rsidTr="007D1C6E">
        <w:tc>
          <w:tcPr>
            <w:tcW w:w="690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3</w:t>
            </w:r>
          </w:p>
        </w:tc>
        <w:tc>
          <w:tcPr>
            <w:tcW w:w="1979" w:type="dxa"/>
            <w:shd w:val="clear" w:color="auto" w:fill="FFFFFF"/>
          </w:tcPr>
          <w:p w:rsidR="00C14069" w:rsidRPr="00BC7D7D" w:rsidRDefault="00C14069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городов с благоприятной городской средой</w:t>
            </w:r>
          </w:p>
        </w:tc>
        <w:tc>
          <w:tcPr>
            <w:tcW w:w="1134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Кбг</w:t>
            </w:r>
          </w:p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городов, индекс качества городской среды которых выше 50 процентов от максимального значения, которое может набрать город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года N 510-р (максимальное значение 360 баллов)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Кбг –</w:t>
            </w:r>
            <w:r w:rsidRPr="006A24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городов с благоприятной городской средой в отчетном году</w:t>
            </w:r>
          </w:p>
        </w:tc>
        <w:tc>
          <w:tcPr>
            <w:tcW w:w="1701" w:type="dxa"/>
            <w:shd w:val="clear" w:color="auto" w:fill="FFFFFF"/>
          </w:tcPr>
          <w:p w:rsidR="00C14069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C14069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C14069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C14069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ой</w:t>
            </w:r>
            <w:r w:rsidR="00C14069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5 </w:t>
            </w:r>
            <w:r w:rsidR="00345DC3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апреля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года, следующего за отчетным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годом</w:t>
            </w:r>
          </w:p>
        </w:tc>
      </w:tr>
      <w:tr w:rsidR="00A04EAA" w:rsidRPr="006A24BA" w:rsidTr="007D1C6E">
        <w:tc>
          <w:tcPr>
            <w:tcW w:w="690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979" w:type="dxa"/>
            <w:shd w:val="clear" w:color="auto" w:fill="FFFFFF"/>
          </w:tcPr>
          <w:p w:rsidR="00A04EAA" w:rsidRPr="00BC7D7D" w:rsidRDefault="00A04EAA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Индекс качества городской среды</w:t>
            </w:r>
          </w:p>
        </w:tc>
        <w:tc>
          <w:tcPr>
            <w:tcW w:w="1134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балл</w:t>
            </w:r>
          </w:p>
        </w:tc>
        <w:tc>
          <w:tcPr>
            <w:tcW w:w="2835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расчетным путем в соответствии с </w:t>
            </w:r>
            <w:hyperlink r:id="rId10">
              <w:r w:rsidRPr="006A24BA">
                <w:rPr>
                  <w:rStyle w:val="a8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Методикой</w:t>
              </w:r>
            </w:hyperlink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формирования индекса качества городской среды, утвержденной распоряжением Правительства Российской Федерации от 23 марта 2019 года N 510-р. Расчет осуществляет Министерство строительства и жилищно-коммунального хозяйства Российской Федерации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–индекс качества городской среды по Оренбургской области за отчетный год</w:t>
            </w:r>
          </w:p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A04EAA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04EAA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04EAA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ой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5 </w:t>
            </w:r>
            <w:r w:rsidR="00345DC3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апреля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года, следующего за отчетным годом</w:t>
            </w:r>
          </w:p>
        </w:tc>
      </w:tr>
      <w:tr w:rsidR="00AF2EEC" w:rsidRPr="006A24BA" w:rsidTr="007D1C6E">
        <w:tc>
          <w:tcPr>
            <w:tcW w:w="690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AF2EEC" w:rsidRPr="00BC7D7D" w:rsidRDefault="00AF2EEC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9C7464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рп=(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рп/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 х 100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закупаемого оборудования, имеющего российское происхождение, в том числе оборудования, закупаемого при выполнении работ, в отчетном периоде к общему объему оборудования, закупаемого в рамках реа-лизации мероприятий госу-дарственных (муниципаль-ных программ) современной городской среды в отчетный период. Состав оборудова-ния, используемый для расчета показателя, определяется на основании перечня отдельных видов промышленных товаров, происходящих из ино-странных государств (за исключением государств - членов Евразийского эконо-мического союза), в отно-шении которых устанавли-ваются ограничения допуска для целей осуществления закупок для обеспечения государственных и муници-пальных нужд, утвержден-ного постановлением Прави-тельства Российской Федера-ции от 30 апреля 2020 г. N 617 "Об ограничениях допуска отдельных видов промы-шленных товаров, происхо-дящих из иностранных государств, для целей осуществления закупок для обеспечения государствен-ных и муниципальных нужд", согласно коду в соответствии с Общероссийским классифи-катором продукции по видам экономической деятельности ОК 034-2014 (КПЕС 2008):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площадки спортивные для спортивных игр на открытом воздухе (42.99.12.110).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Также учитывается оборудо-вание для занятий спортом или для игр на открытом воздухе, в том числе оборудование, закупаемое при выполнении работ в рамках реализации меропри-ятий государственных (муни-ципальных) программ совре-менной городской среды, согласно иным кодам Общероссийским классифи-катором продукции по видам экономической деятельности ОК 034-2014 (КПЕС 2008) и кодам единой Товарной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номенклатуры внешнеэко-номической деятельности Евразийского экономичес-кого союза и Единого таможенного тарифа Евра-зийского экономического союза (ТН ВЭД).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lastRenderedPageBreak/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 – объем закупленного оборудования, имеющего российское происхождение, в том числе оборудования, закупаемого при выполнении работ в рамках реализации мероприятий государственных (муниципальных программ) современной городской среды в отчетный период, млн. рублей.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F2EEC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  <w:r w:rsidR="00833ED6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20 января года, следующего за отчетным годом</w:t>
            </w:r>
          </w:p>
        </w:tc>
      </w:tr>
      <w:tr w:rsidR="00AF2EEC" w:rsidRPr="006A24BA" w:rsidTr="007D1C6E">
        <w:tc>
          <w:tcPr>
            <w:tcW w:w="690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AF2EEC" w:rsidRPr="00BC7D7D" w:rsidRDefault="00AF2EEC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общий объем закупленного оборудования, в том числе оборудования, закупаемого в рамках реализации мероприятий государственных (муниципальных программ) современной городской среды в отчетный период, млн. рублей.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F2EEC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F2EEC" w:rsidRPr="006A24BA" w:rsidRDefault="00833ED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D161AB" w:rsidRPr="006A24BA" w:rsidTr="007D1C6E">
        <w:tc>
          <w:tcPr>
            <w:tcW w:w="690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6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D161AB" w:rsidRPr="00BC7D7D" w:rsidRDefault="00D161AB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Прирост среднего индекса качества городской среды по отношению к 2019 году</w:t>
            </w:r>
            <w:r w:rsidR="00EA5DDA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Пр=((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/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2019)-1) х 100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значения индекса качества городской среды Оренбургской области за отчетный период к значению индекса качества городской среды Оренбургской области за 2019 год (округляется до целого значения)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</w:t>
            </w:r>
          </w:p>
        </w:tc>
        <w:tc>
          <w:tcPr>
            <w:tcW w:w="1701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индекс качества городской среды по Оренбургской области за отчетный год, балл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A4188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D161AB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D161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D161AB" w:rsidRPr="006A24BA" w:rsidTr="007D1C6E">
        <w:tc>
          <w:tcPr>
            <w:tcW w:w="690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D161AB" w:rsidRPr="00BC7D7D" w:rsidRDefault="00D161AB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2019 –индекс качества городской среды по Оренбургской области за 2019 год, балл</w:t>
            </w:r>
          </w:p>
        </w:tc>
        <w:tc>
          <w:tcPr>
            <w:tcW w:w="1701" w:type="dxa"/>
            <w:shd w:val="clear" w:color="auto" w:fill="FFFFFF"/>
          </w:tcPr>
          <w:p w:rsidR="003A4188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D161AB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D161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1E4947" w:rsidRPr="006A24BA" w:rsidTr="001667C2">
        <w:trPr>
          <w:trHeight w:val="5313"/>
        </w:trPr>
        <w:tc>
          <w:tcPr>
            <w:tcW w:w="690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  <w:vMerge w:val="restart"/>
            <w:shd w:val="clear" w:color="auto" w:fill="FFFFFF"/>
            <w:hideMark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6446539D" wp14:editId="79029296">
                  <wp:extent cx="981075" cy="2571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  <w:hideMark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  <w:hideMark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 </w:t>
            </w:r>
          </w:p>
        </w:tc>
      </w:tr>
      <w:tr w:rsidR="001E4947" w:rsidRPr="006A24BA" w:rsidTr="001667C2">
        <w:trPr>
          <w:trHeight w:val="5313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8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1E4947" w:rsidRPr="00BC7D7D" w:rsidRDefault="001E4947" w:rsidP="002B0366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CB5FB7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4473C433" wp14:editId="283AC420">
                  <wp:extent cx="876300" cy="4286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поселениях</w:t>
            </w:r>
            <w:r w:rsidR="00447C51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E5067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1349" w:rsidRPr="001C4506">
              <w:rPr>
                <w:rFonts w:ascii="Times New Roman" w:hAnsi="Times New Roman" w:cs="Times New Roman"/>
                <w:sz w:val="22"/>
                <w:szCs w:val="22"/>
              </w:rPr>
              <w:t>привлечением</w:t>
            </w:r>
            <w:r w:rsidR="00E5067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 из областного бюджета,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нарастающим итогом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.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7182D32B" wp14:editId="42EC06C4">
                  <wp:extent cx="266700" cy="20891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38BFFAE7" wp14:editId="38095140">
                  <wp:extent cx="876300" cy="4286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нарастающим итогом.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587EDC37" wp14:editId="15D30D43">
                  <wp:extent cx="266700" cy="20891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c>
          <w:tcPr>
            <w:tcW w:w="690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10</w:t>
            </w:r>
          </w:p>
        </w:tc>
        <w:tc>
          <w:tcPr>
            <w:tcW w:w="1979" w:type="dxa"/>
            <w:vMerge w:val="restart"/>
            <w:shd w:val="clear" w:color="auto" w:fill="FFFFFF"/>
            <w:hideMark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  <w:r w:rsidR="00967513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гр= (Кгру/Кгр) х100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количества граждан в возрасте от 14 лет,  принявших участие в решении вопросов развития городской среды посредством участия в голосовании по выбору территорий, подлежащих благоустройству, и прочих мероприятиях по выявлению общественного мнения, к количеству граждан в возрасте от 14 лет, проживающих в муниципальных образованиях, участвующих в реализации муниципальных программ формирования комфортной городской среды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pStyle w:val="ConsPlusNormal"/>
              <w:spacing w:before="200"/>
              <w:jc w:val="both"/>
              <w:rPr>
                <w:rFonts w:ascii="Times New Roman" w:eastAsia="Times New Roman" w:hAnsi="Times New Roman" w:cs="Times New Roman"/>
                <w:color w:val="22272F"/>
                <w:sz w:val="22"/>
              </w:rPr>
            </w:pPr>
            <w:r w:rsidRPr="006A24BA">
              <w:rPr>
                <w:rFonts w:ascii="Times New Roman" w:eastAsia="Times New Roman" w:hAnsi="Times New Roman" w:cs="Times New Roman"/>
                <w:color w:val="22272F"/>
                <w:sz w:val="22"/>
              </w:rPr>
              <w:t>Кгрy - количество граждан в возрасте 14 лет и старше, принимающих участие в решении вопросов развития городской среды, тыс. чел. (в среднегодовом выражении);</w:t>
            </w:r>
          </w:p>
          <w:p w:rsidR="001E4947" w:rsidRPr="006A24BA" w:rsidRDefault="001E4947" w:rsidP="006A24B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b/>
                <w:color w:val="22272F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E4947" w:rsidRPr="006A24BA" w:rsidTr="00C27C3F"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Кгр - количество граждан в возрасте 14 лет и старше, проживающих в муниципальных образованиях, на территории которых реализуются муниципальные программы формирования современной городской среды, тыс. чел. согласно официальным данным Росстата (в среднегодовом выражении)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6A24BA" w:rsidTr="002061CF">
        <w:tc>
          <w:tcPr>
            <w:tcW w:w="690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Style w:val="2"/>
                <w:rFonts w:eastAsiaTheme="minorHAnsi"/>
              </w:rPr>
              <w:t>К</w:t>
            </w:r>
            <w:r w:rsidRPr="003C3592">
              <w:rPr>
                <w:rStyle w:val="2"/>
                <w:rFonts w:eastAsiaTheme="minorHAnsi"/>
              </w:rPr>
              <w:t>оличество благоустроенных общественных территорий, ед. (нарастающим итогом с 2025 г.)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18DC9F4C" wp14:editId="62D7EF83">
                  <wp:extent cx="981075" cy="2571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508" w:rsidRPr="006A24BA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3A5508" w:rsidRPr="006A24BA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3A5508" w:rsidRPr="006A24BA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  <w:r w:rsidRPr="006A24B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Ксубj - количество благоустроенных общественных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г., ед.; 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6A24BA" w:rsidTr="002061CF">
        <w:tc>
          <w:tcPr>
            <w:tcW w:w="690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jc w:val="left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3A5508" w:rsidTr="002061CF">
        <w:tc>
          <w:tcPr>
            <w:tcW w:w="690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12</w:t>
            </w:r>
          </w:p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jc w:val="left"/>
              <w:rPr>
                <w:rStyle w:val="2"/>
                <w:rFonts w:eastAsiaTheme="minorHAnsi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реализованных проектов победителей Всероссийского конкурса создания комфортной городской </w:t>
            </w:r>
            <w:r w:rsidRPr="003A55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среды, ед. (нарастающим итогом с 2025 г.)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3A5508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9895D7B" wp14:editId="35D41EF0">
                  <wp:extent cx="981075" cy="2571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  <w:r w:rsidRPr="003A550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</w:t>
            </w: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 xml:space="preserve">реализованных проектов победителей Всероссийского конкурса создания комфортной </w:t>
            </w:r>
            <w:r w:rsidRPr="003A55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городской среды </w:t>
            </w: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j-го муниципального образования за отчетный период нарастающим итогом начиная с 20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25</w:t>
            </w: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г., ед.; </w:t>
            </w:r>
          </w:p>
        </w:tc>
        <w:tc>
          <w:tcPr>
            <w:tcW w:w="1701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6A24BA" w:rsidTr="002061CF">
        <w:tc>
          <w:tcPr>
            <w:tcW w:w="690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jc w:val="left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E90952" w:rsidRPr="006A24BA" w:rsidTr="002061CF">
        <w:tc>
          <w:tcPr>
            <w:tcW w:w="690" w:type="dxa"/>
            <w:vMerge/>
            <w:shd w:val="clear" w:color="auto" w:fill="FFFFFF"/>
          </w:tcPr>
          <w:p w:rsidR="00E90952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E90952" w:rsidRPr="00CA7623" w:rsidRDefault="00E90952" w:rsidP="00D00BBA">
            <w:pPr>
              <w:ind w:firstLine="0"/>
              <w:jc w:val="left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90952" w:rsidRPr="001C4506" w:rsidRDefault="00E90952" w:rsidP="00D00B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1C4506" w:rsidRDefault="00E90952" w:rsidP="00D00BBA">
            <w:pPr>
              <w:ind w:firstLine="0"/>
              <w:rPr>
                <w:noProof/>
                <w:position w:val="-6"/>
              </w:rPr>
            </w:pPr>
            <w:r w:rsidRPr="001C4506">
              <w:rPr>
                <w:rFonts w:ascii="Times New Roman" w:hAnsi="Times New Roman" w:cs="Times New Roman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Default="00E90952" w:rsidP="00D00B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  <w:p w:rsidR="006E35EE" w:rsidRPr="006A24BA" w:rsidRDefault="006E35EE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6E35EE" w:rsidRPr="006A24BA" w:rsidTr="002061CF">
        <w:tc>
          <w:tcPr>
            <w:tcW w:w="690" w:type="dxa"/>
            <w:shd w:val="clear" w:color="auto" w:fill="FFFFFF"/>
          </w:tcPr>
          <w:p w:rsidR="006E35EE" w:rsidRPr="00F0683A" w:rsidRDefault="006E35EE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F0683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1979" w:type="dxa"/>
            <w:shd w:val="clear" w:color="auto" w:fill="FFFFFF"/>
          </w:tcPr>
          <w:p w:rsidR="006E35EE" w:rsidRPr="00F0683A" w:rsidRDefault="006E35EE" w:rsidP="00D00BBA">
            <w:pPr>
              <w:ind w:firstLine="0"/>
              <w:jc w:val="left"/>
              <w:rPr>
                <w:rStyle w:val="2"/>
                <w:rFonts w:eastAsiaTheme="minorHAnsi"/>
              </w:rPr>
            </w:pPr>
            <w:r w:rsidRPr="00F0683A">
              <w:rPr>
                <w:rFonts w:ascii="Times New Roman" w:hAnsi="Times New Roman" w:cs="Times New Roman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1134" w:type="dxa"/>
            <w:shd w:val="clear" w:color="auto" w:fill="FFFFFF"/>
          </w:tcPr>
          <w:p w:rsidR="006E35EE" w:rsidRPr="006A24BA" w:rsidRDefault="002061CF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shd w:val="clear" w:color="auto" w:fill="FFFFFF"/>
          </w:tcPr>
          <w:p w:rsidR="006E35EE" w:rsidRPr="006A24BA" w:rsidRDefault="002061CF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shd w:val="clear" w:color="auto" w:fill="FFFFFF"/>
          </w:tcPr>
          <w:p w:rsidR="00E003E2" w:rsidRPr="00D61FA5" w:rsidRDefault="00BB712E" w:rsidP="00D61FA5">
            <w:pPr>
              <w:tabs>
                <w:tab w:val="left" w:pos="567"/>
              </w:tabs>
              <w:spacing w:line="276" w:lineRule="auto"/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>оказатель интегральный, состоит из 15 компонентов:</w:t>
            </w:r>
          </w:p>
          <w:p w:rsidR="006C27A8" w:rsidRPr="00D61FA5" w:rsidRDefault="006C27A8" w:rsidP="00D61FA5">
            <w:pPr>
              <w:ind w:right="132" w:firstLine="12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sz w:val="22"/>
                <w:szCs w:val="22"/>
              </w:rPr>
              <w:t>1. Увеличение общей площади жилых помещений, приходящихся в среднем на одного жителя</w:t>
            </w:r>
          </w:p>
          <w:p w:rsidR="006C27A8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обеспОНП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 xml:space="preserve">-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обеспОНП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обеспОНП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6C27A8" w:rsidRPr="00D61FA5" w:rsidRDefault="006C27A8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6C27A8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обеспОНП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6C27A8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общая площадь жилых помещений, приходящаяся в среднем на одного жителя в границах </w:t>
            </w:r>
            <w:r w:rsidR="006C27A8" w:rsidRPr="00D61FA5">
              <w:rPr>
                <w:rFonts w:ascii="Times New Roman"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ОНП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период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кв.м./чел.</w:t>
            </w:r>
          </w:p>
          <w:p w:rsidR="006C27A8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обеспОНП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база</m:t>
                  </m:r>
                </m:sup>
              </m:sSubSup>
            </m:oMath>
            <w:r w:rsidR="006C27A8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– 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общая площадь жилых помещений, приходящаяся в среднем на одного жителя в границах </w:t>
            </w:r>
            <w:r w:rsidR="006C27A8" w:rsidRPr="00D61FA5">
              <w:rPr>
                <w:rFonts w:ascii="Times New Roman"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ОНП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на базовый период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кв.м./чел.</w:t>
            </w:r>
          </w:p>
          <w:p w:rsidR="006C27A8" w:rsidRPr="00D61FA5" w:rsidRDefault="006C27A8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6C27A8" w:rsidRPr="00D61FA5" w:rsidRDefault="006C27A8" w:rsidP="00D61FA5">
            <w:pPr>
              <w:ind w:right="132" w:firstLine="12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2.</w:t>
            </w:r>
            <w:r w:rsidRPr="00D61FA5">
              <w:rPr>
                <w:rFonts w:ascii="Times New Roman" w:hAnsi="Times New Roman" w:cs="Times New Roman"/>
                <w:bCs/>
                <w:sz w:val="22"/>
                <w:szCs w:val="22"/>
              </w:rPr>
              <w:t>Увеличение обновленного жилищного фонда с базового периода</w:t>
            </w:r>
          </w:p>
          <w:p w:rsidR="006C27A8" w:rsidRPr="00D61FA5" w:rsidRDefault="006C27A8" w:rsidP="00D61FA5">
            <w:pPr>
              <w:ind w:right="132" w:firstLine="12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C27A8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жсОНП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6C27A8" w:rsidRPr="00D61FA5" w:rsidRDefault="006C27A8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Cs/>
              </w:rPr>
            </w:pPr>
          </w:p>
          <w:p w:rsidR="006C27A8" w:rsidRPr="00D61FA5" w:rsidRDefault="006C27A8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6C27A8" w:rsidRPr="00D61FA5" w:rsidRDefault="00F0683A" w:rsidP="00D61FA5">
            <w:pPr>
              <w:ind w:right="132" w:firstLine="123"/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жсОНП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6C27A8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– объем жилищного строительства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, введенного с базового года по 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год,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квадратный метр;</w:t>
            </w:r>
          </w:p>
          <w:p w:rsidR="006C27A8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6C27A8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общая площадь жилых помещений 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6C27A8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="006C27A8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квадратный метр</w:t>
            </w:r>
          </w:p>
          <w:p w:rsidR="006C27A8" w:rsidRPr="00D61FA5" w:rsidRDefault="006C27A8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3.</w:t>
            </w:r>
            <w:bookmarkStart w:id="0" w:name="_Hlk172891345"/>
            <w:r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Сокращение площади жилых помещений в МКД, признанных аварийными</w:t>
            </w:r>
            <w:bookmarkEnd w:id="0"/>
          </w:p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2020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2024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АВ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перес.ОНП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АВ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перес.ОНП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АВ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база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АВ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D61FA5" w:rsidRPr="00D61FA5" w:rsidRDefault="00D61FA5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2020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2024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АВ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перес.ОНП</m:t>
                      </m:r>
                    </m:sub>
                  </m:sSub>
                </m:e>
              </m:nary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переселенных из непригодного для проживания жилищного фонда в ОНП, с 2020 по 2024 год,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человек.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АВ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перес.ОНП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граждан, переселенных из непригодного для проживания жилищного фонда в ОНП, с 2025 года по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год нарастающим итогом,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человек.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АВ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база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количество граждан, проживающих в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признанных аварийными МКД на 31.12.2019, человек.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АВ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количество граждан, проживающих в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признанных аварийными МКД за период с 2020 по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год, человек.</w:t>
            </w:r>
          </w:p>
          <w:p w:rsidR="006C27A8" w:rsidRPr="00D61FA5" w:rsidRDefault="00D61FA5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bookmarkStart w:id="1" w:name="_Hlk172892816"/>
            <w:r w:rsidRPr="00D61FA5">
              <w:rPr>
                <w:rFonts w:ascii="Times New Roman" w:hAnsi="Times New Roman" w:cs="Times New Roman"/>
                <w:sz w:val="22"/>
                <w:szCs w:val="22"/>
              </w:rPr>
              <w:t>Увеличение доли населения, для которого улучшится качество предоставляемых коммунальных услуг (в сфере тепло-, водоснабжения и водоотведения)</w:t>
            </w:r>
            <w:bookmarkEnd w:id="1"/>
            <w:r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2020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2024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ЧН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ул.куОНП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ЧН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ул.куОНП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ЧН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D61FA5" w:rsidRPr="00D61FA5" w:rsidRDefault="00D61FA5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hAnsi="Times New Roman"/>
                <w:iCs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2020</m:t>
                  </m:r>
                </m:sub>
                <m:sup>
                  <m:r>
                    <w:rPr>
                      <w:rFonts w:ascii="Cambria Math" w:hAnsi="Cambria Math"/>
                    </w:rPr>
                    <m:t>2024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ЧН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ул.куОНП</m:t>
                      </m:r>
                    </m:sub>
                  </m:sSub>
                </m:e>
              </m:nary>
            </m:oMath>
            <w:r w:rsidR="00D61FA5" w:rsidRPr="00D61FA5">
              <w:rPr>
                <w:rFonts w:ascii="Times New Roman" w:eastAsiaTheme="minorEastAsia" w:hAnsi="Times New Roman"/>
                <w:iCs/>
              </w:rPr>
              <w:t xml:space="preserve"> </w:t>
            </w:r>
            <w:r w:rsidR="00D61FA5" w:rsidRPr="00D61FA5">
              <w:rPr>
                <w:rFonts w:ascii="Times New Roman" w:hAnsi="Times New Roman"/>
                <w:iCs/>
              </w:rPr>
              <w:t xml:space="preserve">– численность населения ОНП, проживающего в многоквартирных и жилых домах, подключенных к объектам коммунальной инфраструктуры на территории ОНП (технологически связанных с объектом коммунальной инфраструктуры ОНП), в отношении которых реализованы мероприятия </w:t>
            </w:r>
            <w:r w:rsidR="00D61FA5" w:rsidRPr="00D61FA5">
              <w:rPr>
                <w:rFonts w:ascii="Times New Roman" w:eastAsia="Tahoma" w:hAnsi="Times New Roman"/>
              </w:rPr>
              <w:t xml:space="preserve">региональных комплексных планов по модернизации систем коммунальной инфраструктуры субъектов Российской Федерации (далее – Региональный план) </w:t>
            </w:r>
            <w:r w:rsidR="00D61FA5" w:rsidRPr="00D61FA5">
              <w:rPr>
                <w:rFonts w:ascii="Times New Roman" w:hAnsi="Times New Roman"/>
              </w:rPr>
              <w:t>за 2020-2024 годы,</w:t>
            </w:r>
            <w:r w:rsidR="00D61FA5" w:rsidRPr="00D61FA5">
              <w:rPr>
                <w:rFonts w:ascii="Times New Roman" w:hAnsi="Times New Roman"/>
                <w:iCs/>
              </w:rPr>
              <w:t xml:space="preserve"> </w:t>
            </w:r>
            <w:r w:rsidR="00D61FA5" w:rsidRPr="00D61FA5">
              <w:rPr>
                <w:rFonts w:ascii="Times New Roman" w:hAnsi="Times New Roman"/>
              </w:rPr>
              <w:t>человек</w:t>
            </w:r>
            <w:r w:rsidR="00D61FA5" w:rsidRPr="00D61FA5">
              <w:rPr>
                <w:rFonts w:ascii="Times New Roman" w:eastAsia="Times New Roman" w:hAnsi="Times New Roman"/>
                <w:iCs/>
                <w:lang w:eastAsia="ru-RU"/>
              </w:rPr>
              <w:t>.</w:t>
            </w:r>
          </w:p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hAnsi="Times New Roman"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ЧН</m:t>
                  </m:r>
                </m:e>
                <m:sub>
                  <m:r>
                    <w:rPr>
                      <w:rFonts w:ascii="Cambria Math" w:hAnsi="Cambria Math"/>
                    </w:rPr>
                    <m:t>ул.куОНП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/>
                <w:iCs/>
              </w:rPr>
              <w:t xml:space="preserve"> </w:t>
            </w:r>
            <w:r w:rsidR="00D61FA5" w:rsidRPr="00D61FA5">
              <w:rPr>
                <w:rFonts w:ascii="Times New Roman" w:hAnsi="Times New Roman"/>
                <w:iCs/>
              </w:rPr>
              <w:t xml:space="preserve">– численность населения ОНП, проживающего в многоквартирных и жилых домах, подключенных к объектам коммунальной инфраструктуры на территории ОНП (технологически связанных с объектом коммунальной инфраструктуры ОНП), в отношении которых реализованы мероприятия </w:t>
            </w:r>
            <w:r w:rsidR="00D61FA5" w:rsidRPr="00D61FA5">
              <w:rPr>
                <w:rFonts w:ascii="Times New Roman" w:eastAsia="Tahoma" w:hAnsi="Times New Roman"/>
              </w:rPr>
              <w:t xml:space="preserve">Региональных планов </w:t>
            </w:r>
            <w:r w:rsidR="00D61FA5" w:rsidRPr="00D61FA5">
              <w:rPr>
                <w:rFonts w:ascii="Times New Roman" w:hAnsi="Times New Roman"/>
              </w:rPr>
              <w:t xml:space="preserve">с 2025 года по </w:t>
            </w:r>
            <w:r w:rsidR="00D61FA5" w:rsidRPr="00D61FA5">
              <w:rPr>
                <w:rFonts w:ascii="Times New Roman" w:hAnsi="Times New Roman"/>
                <w:lang w:val="en-US"/>
              </w:rPr>
              <w:t>t</w:t>
            </w:r>
            <w:r w:rsidR="00D61FA5" w:rsidRPr="00D61FA5">
              <w:rPr>
                <w:rFonts w:ascii="Times New Roman" w:hAnsi="Times New Roman"/>
              </w:rPr>
              <w:t xml:space="preserve"> год,</w:t>
            </w:r>
            <w:r w:rsidR="00D61FA5" w:rsidRPr="00D61FA5">
              <w:rPr>
                <w:rFonts w:ascii="Times New Roman" w:hAnsi="Times New Roman"/>
                <w:iCs/>
              </w:rPr>
              <w:t xml:space="preserve"> </w:t>
            </w:r>
            <w:r w:rsidR="00D61FA5" w:rsidRPr="00D61FA5">
              <w:rPr>
                <w:rFonts w:ascii="Times New Roman" w:hAnsi="Times New Roman"/>
              </w:rPr>
              <w:t>человек</w:t>
            </w:r>
            <w:r w:rsidR="00D61FA5" w:rsidRPr="00D61FA5">
              <w:rPr>
                <w:rFonts w:ascii="Times New Roman" w:eastAsia="Times New Roman" w:hAnsi="Times New Roman"/>
                <w:iCs/>
                <w:lang w:eastAsia="ru-RU"/>
              </w:rPr>
              <w:t>.</w:t>
            </w:r>
          </w:p>
          <w:p w:rsidR="00D61FA5" w:rsidRPr="00D61FA5" w:rsidRDefault="00D61FA5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5. Увеличение доли подключения домовладений к сетевому природному газу в рамках программы социальной газификации </w:t>
            </w:r>
          </w:p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газОНП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 xml:space="preserve">-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газОНП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100%-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газОНП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D61FA5" w:rsidRPr="00D61FA5" w:rsidRDefault="00D61FA5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D61FA5" w:rsidRPr="00D61FA5" w:rsidRDefault="00F0683A" w:rsidP="00D61FA5">
            <w:pPr>
              <w:tabs>
                <w:tab w:val="left" w:pos="4678"/>
              </w:tabs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газОНП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доля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домовладений, </w:t>
            </w:r>
            <w:r w:rsidR="00D61FA5" w:rsidRPr="00D61FA5">
              <w:rPr>
                <w:rFonts w:ascii="Times New Roman" w:eastAsiaTheme="minorEastAsia" w:hAnsi="Times New Roman" w:cs="Times New Roman"/>
                <w:spacing w:val="-6"/>
                <w:sz w:val="22"/>
                <w:szCs w:val="22"/>
              </w:rPr>
              <w:t>подключенных к сетевому природному газу, в том числе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eastAsiaTheme="minorEastAsia" w:hAnsi="Times New Roman" w:cs="Times New Roman"/>
                <w:spacing w:val="-6"/>
                <w:sz w:val="22"/>
                <w:szCs w:val="22"/>
              </w:rPr>
              <w:t xml:space="preserve">в рамках программы социальной газификации, на </w:t>
            </w:r>
            <w:r w:rsidR="00D61FA5" w:rsidRPr="00D61FA5">
              <w:rPr>
                <w:rFonts w:ascii="Times New Roman" w:eastAsiaTheme="minorEastAsia" w:hAnsi="Times New Roman" w:cs="Times New Roman"/>
                <w:spacing w:val="-6"/>
                <w:sz w:val="22"/>
                <w:szCs w:val="22"/>
                <w:lang w:val="en-US"/>
              </w:rPr>
              <w:t>t</w:t>
            </w:r>
            <w:r w:rsidR="00D61FA5" w:rsidRPr="00D61FA5">
              <w:rPr>
                <w:rFonts w:ascii="Times New Roman" w:eastAsiaTheme="minorEastAsia" w:hAnsi="Times New Roman" w:cs="Times New Roman"/>
                <w:spacing w:val="-6"/>
                <w:sz w:val="22"/>
                <w:szCs w:val="22"/>
              </w:rPr>
              <w:t xml:space="preserve"> год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процент.</w:t>
            </w:r>
          </w:p>
          <w:p w:rsidR="00D61FA5" w:rsidRPr="00D61FA5" w:rsidRDefault="00F0683A" w:rsidP="00D61FA5">
            <w:pPr>
              <w:tabs>
                <w:tab w:val="left" w:pos="4678"/>
              </w:tabs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газОНП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база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–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доля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домовладений, </w:t>
            </w:r>
            <w:r w:rsidR="00D61FA5" w:rsidRPr="00D61FA5">
              <w:rPr>
                <w:rFonts w:ascii="Times New Roman" w:eastAsiaTheme="minorEastAsia" w:hAnsi="Times New Roman" w:cs="Times New Roman"/>
                <w:spacing w:val="-6"/>
                <w:sz w:val="22"/>
                <w:szCs w:val="22"/>
              </w:rPr>
              <w:t>подключенных к сетевому природному газу, в том числе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eastAsiaTheme="minorEastAsia" w:hAnsi="Times New Roman" w:cs="Times New Roman"/>
                <w:spacing w:val="-6"/>
                <w:sz w:val="22"/>
                <w:szCs w:val="22"/>
              </w:rPr>
              <w:t xml:space="preserve">в рамках программы социальной газификации,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на базовый период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процент.</w:t>
            </w:r>
          </w:p>
          <w:p w:rsidR="00D61FA5" w:rsidRPr="00D61FA5" w:rsidRDefault="00D61FA5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bookmarkStart w:id="2" w:name="_Hlk172897016"/>
            <w:r w:rsidRPr="00D61FA5">
              <w:rPr>
                <w:rFonts w:ascii="Times New Roman" w:hAnsi="Times New Roman" w:cs="Times New Roman"/>
                <w:sz w:val="22"/>
                <w:szCs w:val="22"/>
              </w:rPr>
              <w:t>Увеличение доли домохозяйств, которым обеспечена возможность широкополосного доступа к информационно-телекоммуникационной сети "Интернет"</w:t>
            </w:r>
            <w:bookmarkEnd w:id="2"/>
          </w:p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ДИ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 xml:space="preserve">-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ДИ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100%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ДИ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D61FA5" w:rsidRPr="00D61FA5" w:rsidRDefault="00D61FA5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ДИ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процент домохозяйств, которым обеспечена возможность широкополосного доступа к информационно–телекоммуникационной сети "Интернет" на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период </w:t>
            </w:r>
            <w:r w:rsidR="00D61FA5" w:rsidRPr="00D61FA5">
              <w:rPr>
                <w:rFonts w:ascii="Times New Roman" w:hAnsi="Times New Roman" w:cs="Times New Roman"/>
                <w:i/>
                <w:sz w:val="22"/>
                <w:szCs w:val="22"/>
              </w:rPr>
              <w:t>(Показатель может принимать значение 0% или 100%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ДИ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база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–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процент домохозяйств, которым обеспечена возможность широкополосного доступа к информационно–телекоммуникационной сети "Интернет", на базовый период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  <w:tbl>
            <w:tblPr>
              <w:tblW w:w="253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32"/>
            </w:tblGrid>
            <w:tr w:rsidR="00D61FA5" w:rsidRPr="00D61FA5" w:rsidTr="00D61FA5">
              <w:trPr>
                <w:trHeight w:val="507"/>
              </w:trPr>
              <w:tc>
                <w:tcPr>
                  <w:tcW w:w="2532" w:type="dxa"/>
                  <w:vMerge w:val="restar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61FA5" w:rsidRPr="00D61FA5" w:rsidRDefault="00D61FA5" w:rsidP="00D61FA5">
                  <w:pPr>
                    <w:ind w:right="132" w:firstLine="123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 Снижение количества несанкционированных свалок </w:t>
                  </w:r>
                </w:p>
                <w:p w:rsidR="00D61FA5" w:rsidRPr="00D61FA5" w:rsidRDefault="00F0683A" w:rsidP="00D61FA5">
                  <w:pPr>
                    <w:pStyle w:val="a3"/>
                    <w:ind w:left="0" w:right="132" w:firstLine="123"/>
                    <w:jc w:val="both"/>
                    <w:rPr>
                      <w:rFonts w:ascii="Times New Roman" w:eastAsiaTheme="minorEastAsia" w:hAnsi="Times New Roman"/>
                      <w:i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7ОНП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НС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база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НС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t</m:t>
                                  </m:r>
                                </m:sup>
                              </m:sSubSup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НС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база</m:t>
                                  </m:r>
                                </m:sup>
                              </m:sSubSup>
                            </m:den>
                          </m:f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*100%</m:t>
                      </m:r>
                    </m:oMath>
                  </m:oMathPara>
                </w:p>
                <w:p w:rsidR="00D61FA5" w:rsidRPr="00D61FA5" w:rsidRDefault="00D61FA5" w:rsidP="00D61FA5">
                  <w:pPr>
                    <w:tabs>
                      <w:tab w:val="left" w:pos="567"/>
                    </w:tabs>
                    <w:ind w:right="132" w:firstLine="123"/>
                    <w:rPr>
                      <w:rFonts w:ascii="Times New Roman" w:eastAsiaTheme="minorHAnsi" w:hAnsi="Times New Roman" w:cs="Times New Roman"/>
                      <w:iCs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Где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НС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– общее количество несанкционированных свалок в ОНП на базовый год, единиц.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НС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– общее количество несанкционированных свалок в ОНП на конец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t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года, единиц.</w:t>
                  </w:r>
                </w:p>
                <w:p w:rsidR="00D61FA5" w:rsidRPr="00D61FA5" w:rsidRDefault="00D61FA5" w:rsidP="00D61FA5">
                  <w:pPr>
                    <w:ind w:right="132" w:firstLine="123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8. Увеличение доли парка подвижного состава общественного транспорта, имеющего срок эксплуатации не старше нормативного</w:t>
                  </w:r>
                </w:p>
                <w:p w:rsidR="00D61FA5" w:rsidRPr="00D61FA5" w:rsidRDefault="00F0683A" w:rsidP="00D61FA5">
                  <w:pPr>
                    <w:pStyle w:val="a3"/>
                    <w:ind w:left="0" w:right="132" w:firstLine="123"/>
                    <w:jc w:val="both"/>
                    <w:rPr>
                      <w:rFonts w:ascii="Times New Roman" w:eastAsiaTheme="minorEastAsia" w:hAnsi="Times New Roman"/>
                      <w:i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8ОНП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ТР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t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-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ТР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база</m:t>
                                  </m:r>
                                </m:sup>
                              </m:sSubSup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100%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ТР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база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100%</m:t>
                      </m:r>
                    </m:oMath>
                  </m:oMathPara>
                </w:p>
                <w:p w:rsidR="00D61FA5" w:rsidRPr="00D61FA5" w:rsidRDefault="00D61FA5" w:rsidP="00D61FA5">
                  <w:pPr>
                    <w:tabs>
                      <w:tab w:val="left" w:pos="567"/>
                    </w:tabs>
                    <w:ind w:right="132" w:firstLine="123"/>
                    <w:rPr>
                      <w:rFonts w:ascii="Times New Roman" w:eastAsiaTheme="minorHAnsi" w:hAnsi="Times New Roman" w:cs="Times New Roman"/>
                      <w:iCs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Где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ТР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iCs/>
                      <w:sz w:val="22"/>
                      <w:szCs w:val="22"/>
                    </w:rPr>
                    <w:t xml:space="preserve"> 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–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процент парка подвижного состава общественного транспорта, имеющего срок эксплуатации не старше нормативного в ОНП на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t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,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процент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.</w:t>
                  </w:r>
                </w:p>
                <w:p w:rsidR="00D61FA5" w:rsidRPr="00D61FA5" w:rsidRDefault="00F0683A" w:rsidP="00D61FA5">
                  <w:pPr>
                    <w:ind w:right="132" w:firstLine="123"/>
                    <w:jc w:val="left"/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ТР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iCs/>
                      <w:sz w:val="22"/>
                      <w:szCs w:val="22"/>
                    </w:rPr>
                    <w:t xml:space="preserve"> –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процент парка подвижного состава общественного транспорта, имеющего срок эксплуатации не старше нормативного в ОНП, на базовый период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,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процент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.</w:t>
                  </w:r>
                </w:p>
                <w:p w:rsidR="00D61FA5" w:rsidRPr="00D61FA5" w:rsidRDefault="00D61FA5" w:rsidP="00D61FA5">
                  <w:pPr>
                    <w:ind w:right="132" w:firstLine="123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9. </w:t>
                  </w:r>
                  <w:r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Увеличение доли улично-дорожной сети в ОНП, находящихся в нормативном состоянии</w:t>
                  </w:r>
                </w:p>
                <w:p w:rsidR="00D61FA5" w:rsidRPr="00D61FA5" w:rsidRDefault="00F0683A" w:rsidP="00D61FA5">
                  <w:pPr>
                    <w:pStyle w:val="a3"/>
                    <w:ind w:left="0" w:right="132" w:firstLine="123"/>
                    <w:jc w:val="both"/>
                    <w:rPr>
                      <w:rFonts w:ascii="Times New Roman" w:eastAsiaTheme="minorEastAsia" w:hAnsi="Times New Roman"/>
                      <w:iCs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9ОНП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АД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t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- 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АД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база</m:t>
                                  </m:r>
                                </m:sup>
                              </m:sSubSup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100%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АД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база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*100%</m:t>
                      </m:r>
                    </m:oMath>
                  </m:oMathPara>
                </w:p>
                <w:p w:rsidR="00D61FA5" w:rsidRPr="00D61FA5" w:rsidRDefault="00D61FA5" w:rsidP="00D61FA5">
                  <w:pPr>
                    <w:tabs>
                      <w:tab w:val="left" w:pos="567"/>
                    </w:tabs>
                    <w:ind w:right="132" w:firstLine="123"/>
                    <w:rPr>
                      <w:rFonts w:ascii="Times New Roman" w:eastAsiaTheme="minorHAnsi" w:hAnsi="Times New Roman" w:cs="Times New Roman"/>
                      <w:iCs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Где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АД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iCs/>
                      <w:sz w:val="22"/>
                      <w:szCs w:val="22"/>
                    </w:rPr>
                    <w:t xml:space="preserve"> 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–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доля протяженности улично-дорожной сети в ОНП, находящихся в нормативном состоянии на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t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,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процент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.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АД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iCs/>
                      <w:sz w:val="22"/>
                      <w:szCs w:val="22"/>
                    </w:rPr>
                    <w:t xml:space="preserve"> –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доля протяженности улично-дорожной сети в ОНП, находящихся в нормативном состоянии, на базовый период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,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процент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.</w:t>
                  </w:r>
                </w:p>
                <w:p w:rsidR="00D61FA5" w:rsidRPr="00D61FA5" w:rsidRDefault="00D61FA5" w:rsidP="00D61FA5">
                  <w:pPr>
                    <w:ind w:right="132" w:firstLine="123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10. Увеличение доли общей площади мест приложения труда (нежилой недвижимости) обновленной с базового периода</w:t>
                  </w:r>
                </w:p>
                <w:p w:rsidR="00D61FA5" w:rsidRPr="00D61FA5" w:rsidRDefault="00F0683A" w:rsidP="00D61FA5">
                  <w:pPr>
                    <w:pStyle w:val="a3"/>
                    <w:ind w:left="0" w:right="132" w:firstLine="123"/>
                    <w:jc w:val="both"/>
                    <w:rPr>
                      <w:rFonts w:ascii="Times New Roman" w:eastAsiaTheme="minorEastAsia" w:hAnsi="Times New Roman"/>
                      <w:iCs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10ОНП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вкнОНП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t</m:t>
                                  </m:r>
                                </m:sup>
                              </m:sSubSup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кнОНП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t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*100%</m:t>
                      </m:r>
                    </m:oMath>
                  </m:oMathPara>
                </w:p>
                <w:p w:rsidR="00D61FA5" w:rsidRPr="00D61FA5" w:rsidRDefault="00D61FA5" w:rsidP="00D61FA5">
                  <w:pPr>
                    <w:tabs>
                      <w:tab w:val="left" w:pos="567"/>
                    </w:tabs>
                    <w:ind w:right="132" w:firstLine="123"/>
                    <w:rPr>
                      <w:rFonts w:ascii="Times New Roman" w:eastAsiaTheme="minorHAnsi" w:hAnsi="Times New Roman" w:cs="Times New Roman"/>
                      <w:iCs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Где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вкнОНП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iCs/>
                      <w:sz w:val="22"/>
                      <w:szCs w:val="22"/>
                    </w:rPr>
                    <w:t xml:space="preserve"> 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>– объем нежилого (коммерческого) строительства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введенного с базового года по 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t</w:t>
                  </w:r>
                  <w:r w:rsidR="00D61FA5"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 нарастающим итогом,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 квадратный метр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кнОНП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Theme="minorEastAsia" w:hAnsi="Times New Roman" w:cs="Times New Roman"/>
                      <w:iCs/>
                      <w:sz w:val="22"/>
                      <w:szCs w:val="22"/>
                    </w:rPr>
                    <w:t xml:space="preserve"> 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– общая площадь нежилой недвижимости на конец 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  <w:lang w:val="en-US"/>
                    </w:rPr>
                    <w:t>t</w:t>
                  </w:r>
                  <w:r w:rsidR="00D61FA5" w:rsidRPr="00D61FA5">
                    <w:rPr>
                      <w:rFonts w:ascii="Times New Roman" w:hAnsi="Times New Roman" w:cs="Times New Roman"/>
                      <w:iCs/>
                      <w:sz w:val="22"/>
                      <w:szCs w:val="22"/>
                    </w:rPr>
                    <w:t xml:space="preserve"> периода, квадратный метр</w:t>
                  </w:r>
                </w:p>
                <w:p w:rsidR="00D61FA5" w:rsidRPr="00D61FA5" w:rsidRDefault="00D61FA5" w:rsidP="00D61FA5">
                  <w:pPr>
                    <w:ind w:right="132" w:firstLine="123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11. Увеличение доли объектов (дошкольного и общего) образования, находящихся в удовлетворительном состоянии (не требующих капитального ремонта)</w:t>
                  </w:r>
                </w:p>
                <w:bookmarkStart w:id="3" w:name="_Hlk176120989"/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11ОНП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t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ДОУ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ОНП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t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ДОУ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ОНП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база</m:t>
                              </m:r>
                            </m:sup>
                          </m:sSub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100%-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ДОУ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ОНП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база</m:t>
                              </m:r>
                            </m:sup>
                          </m:sSub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*100%</m:t>
                      </m:r>
                    </m:oMath>
                  </m:oMathPara>
                </w:p>
                <w:bookmarkEnd w:id="3"/>
                <w:p w:rsidR="00D61FA5" w:rsidRPr="00D61FA5" w:rsidRDefault="00D61FA5" w:rsidP="00D61FA5">
                  <w:pPr>
                    <w:ind w:right="132" w:firstLine="123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Где</w:t>
                  </w:r>
                </w:p>
                <w:bookmarkStart w:id="4" w:name="_Hlk173225135"/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ДОУ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 – </w:t>
                  </w:r>
                  <w:bookmarkStart w:id="5" w:name="_Hlk173330751"/>
                  <w:r w:rsidR="00D61FA5"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процент объектов (дошкольного и общего) образования, находящихся в удовлетворительном состоянии (не требующих капитального ремонта), на 2019 г., процент</w:t>
                  </w:r>
                  <w:bookmarkEnd w:id="5"/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ДОУ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t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– </w:t>
                  </w:r>
                  <w:bookmarkStart w:id="6" w:name="_Hlk173330766"/>
                  <w:r w:rsidR="00D61FA5"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процент объектов (дошкольного и общего) образования, находящихся в удовлетворительном состоянии (не требующих капитального ремонта), за отчетный период, процент,</w:t>
                  </w:r>
                  <w:bookmarkEnd w:id="4"/>
                  <w:bookmarkEnd w:id="6"/>
                </w:p>
                <w:p w:rsidR="00D61FA5" w:rsidRPr="00D61FA5" w:rsidRDefault="00D61FA5" w:rsidP="00D61FA5">
                  <w:pPr>
                    <w:ind w:right="132" w:firstLine="123"/>
                    <w:jc w:val="left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bookmarkStart w:id="7" w:name="_Hlk173330849"/>
                  <w:r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Под объектом принимается понятие «здания и помещения»</w:t>
                  </w:r>
                  <w:bookmarkEnd w:id="7"/>
                </w:p>
                <w:p w:rsidR="00D61FA5" w:rsidRPr="00D61FA5" w:rsidRDefault="00D61FA5" w:rsidP="00D61FA5">
                  <w:pPr>
                    <w:pStyle w:val="a3"/>
                    <w:spacing w:after="0"/>
                    <w:ind w:left="0" w:right="132" w:firstLine="123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61FA5">
                    <w:rPr>
                      <w:rFonts w:ascii="Times New Roman" w:hAnsi="Times New Roman"/>
                    </w:rPr>
                    <w:t xml:space="preserve">12. </w:t>
                  </w:r>
                  <w:bookmarkStart w:id="8" w:name="_Hlk172791338"/>
                  <w:r w:rsidRPr="00D61FA5">
                    <w:rPr>
                      <w:rFonts w:ascii="Times New Roman" w:eastAsia="Times New Roman" w:hAnsi="Times New Roman"/>
                      <w:lang w:eastAsia="ru-RU"/>
                    </w:rPr>
                    <w:t>Увеличение доли объектов первичной медико-санитарной помощи государственных медицинских организаций, находящихся в удовлетворительном состоянии (имеющих физический износ менее 60%)</w:t>
                  </w:r>
                  <w:bookmarkEnd w:id="8"/>
                </w:p>
                <w:bookmarkStart w:id="9" w:name="_Hlk176121149"/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12ОНП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t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ОЗД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ОНП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t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 xml:space="preserve">- 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ОЗД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ОНП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база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 xml:space="preserve"> 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>100%-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ОЗД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ОНП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2"/>
                                  <w:szCs w:val="22"/>
                                </w:rPr>
                                <m:t>база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2"/>
                              <w:szCs w:val="22"/>
                            </w:rPr>
                            <m:t xml:space="preserve"> 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*100%</m:t>
                      </m:r>
                    </m:oMath>
                  </m:oMathPara>
                </w:p>
                <w:bookmarkEnd w:id="9"/>
                <w:p w:rsidR="00D61FA5" w:rsidRPr="00D61FA5" w:rsidRDefault="00D61FA5" w:rsidP="00D61FA5">
                  <w:pPr>
                    <w:ind w:right="132" w:firstLine="123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где</w:t>
                  </w:r>
                </w:p>
                <w:p w:rsidR="00D61FA5" w:rsidRPr="00D61FA5" w:rsidRDefault="00F0683A" w:rsidP="00D61FA5">
                  <w:pPr>
                    <w:ind w:right="132" w:firstLine="123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ОЗД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t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 – процент объектов первичной медико–санитарной помощи государственных медицинских организаций, находящихся в удовлетворительном состоянии на t период, процент.</w:t>
                  </w:r>
                </w:p>
                <w:p w:rsidR="00D61FA5" w:rsidRPr="00D61FA5" w:rsidRDefault="00F0683A" w:rsidP="00D61FA5">
                  <w:pPr>
                    <w:ind w:right="132" w:firstLine="123"/>
                    <w:jc w:val="left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ОЗД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</m:oMath>
                  <w:r w:rsidR="00D61FA5"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 – процент объектов первичной медико–санитарной помощи государственных медицинских организаций, находящихся в удовлетворительном состоянии, на базовый период, процент.</w:t>
                  </w:r>
                </w:p>
                <w:p w:rsidR="00D61FA5" w:rsidRPr="00D61FA5" w:rsidRDefault="00D61FA5" w:rsidP="00D61FA5">
                  <w:pPr>
                    <w:ind w:right="132" w:firstLine="123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13. Увеличение </w:t>
                  </w:r>
                  <w:r w:rsidRPr="00D61F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доли</w:t>
                  </w:r>
                  <w:r w:rsidRPr="00D61FA5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 обеспеченности граждан спортивными сооружениями исходя из единовременной пропускной способности объектов спорта</w:t>
                  </w:r>
                </w:p>
              </w:tc>
            </w:tr>
            <w:tr w:rsidR="00D61FA5" w:rsidRPr="00D61FA5" w:rsidTr="00D61FA5">
              <w:trPr>
                <w:trHeight w:val="507"/>
              </w:trPr>
              <w:tc>
                <w:tcPr>
                  <w:tcW w:w="2532" w:type="dxa"/>
                  <w:vMerge/>
                  <w:shd w:val="clear" w:color="auto" w:fill="FFFFFF"/>
                  <w:vAlign w:val="center"/>
                  <w:hideMark/>
                </w:tcPr>
                <w:p w:rsidR="00D61FA5" w:rsidRPr="00D61FA5" w:rsidRDefault="00D61FA5" w:rsidP="00D61FA5">
                  <w:pPr>
                    <w:ind w:right="132" w:firstLine="123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13ОНП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ОС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 xml:space="preserve">-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ОС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ОС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D61FA5" w:rsidRPr="00D61FA5" w:rsidRDefault="00D61FA5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D61FA5" w:rsidRPr="00D61FA5" w:rsidRDefault="00F0683A" w:rsidP="00D61FA5">
            <w:pPr>
              <w:tabs>
                <w:tab w:val="left" w:pos="4678"/>
              </w:tabs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ОС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– доля обеспеченности граждан спортивными сооружениями исходя из единовременной пропускной способности объектов спорта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процент.</w:t>
            </w:r>
          </w:p>
          <w:p w:rsidR="00D61FA5" w:rsidRPr="00D61FA5" w:rsidRDefault="00F0683A" w:rsidP="00D61FA5">
            <w:pPr>
              <w:tabs>
                <w:tab w:val="left" w:pos="4678"/>
              </w:tabs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ОС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база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–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доля обеспеченности граждан спортивными сооружениями исходя из единовременной пропускной способности объектов спорта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на базовый период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процент.</w:t>
            </w:r>
          </w:p>
          <w:p w:rsidR="00D61FA5" w:rsidRPr="00D61FA5" w:rsidRDefault="00D61FA5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sz w:val="22"/>
                <w:szCs w:val="22"/>
              </w:rPr>
              <w:t>14. Увеличение доли объектов организаций культурно-досугового типа и библиотек, находящихся в удовлетворительном состоянии</w:t>
            </w:r>
          </w:p>
          <w:bookmarkStart w:id="10" w:name="_Hlk176121828"/>
          <w:p w:rsidR="00D61FA5" w:rsidRPr="00D61FA5" w:rsidRDefault="00F0683A" w:rsidP="00D61FA5">
            <w:pPr>
              <w:ind w:right="132" w:firstLine="12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14ОНП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t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 xml:space="preserve">- 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100%-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ОНП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2"/>
                            <w:szCs w:val="22"/>
                          </w:rPr>
                          <m:t>база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2"/>
                    <w:szCs w:val="22"/>
                  </w:rPr>
                  <m:t>*100%</m:t>
                </m:r>
              </m:oMath>
            </m:oMathPara>
          </w:p>
          <w:bookmarkEnd w:id="10"/>
          <w:p w:rsidR="00D61FA5" w:rsidRPr="00D61FA5" w:rsidRDefault="00D61FA5" w:rsidP="00D61FA5">
            <w:pPr>
              <w:tabs>
                <w:tab w:val="left" w:pos="567"/>
              </w:tabs>
              <w:ind w:right="132" w:firstLine="12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eastAsia="Calibri" w:hAnsi="Times New Roman" w:cs="Times New Roman"/>
                <w:sz w:val="22"/>
                <w:szCs w:val="22"/>
              </w:rPr>
              <w:t>Где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2"/>
                      <w:szCs w:val="22"/>
                    </w:rPr>
                    <m:t>ОК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2"/>
                      <w:szCs w:val="22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процент зданий учреждений культурно–досугового типа и общедоступных (публичных) библиотек, находящихся в удовлетворительном состоянии на t период, процент.</w:t>
            </w:r>
          </w:p>
          <w:p w:rsidR="00D61FA5" w:rsidRPr="00D61FA5" w:rsidRDefault="00F0683A" w:rsidP="00D61FA5">
            <w:pPr>
              <w:ind w:right="132" w:firstLine="12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2"/>
                      <w:szCs w:val="22"/>
                    </w:rPr>
                    <m:t>ОК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2"/>
                      <w:szCs w:val="22"/>
                    </w:rPr>
                    <m:t>база</m:t>
                  </m:r>
                </m:sup>
              </m:sSubSup>
            </m:oMath>
            <w:r w:rsidR="00D61FA5" w:rsidRPr="00D61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процент зданий учреждений культурно–досугового типа и общедоступных (публичных) библиотек, находящихся в удовлетворительном состоянии на базовый период, процент</w:t>
            </w:r>
          </w:p>
          <w:p w:rsidR="00D61FA5" w:rsidRPr="00D61FA5" w:rsidRDefault="00D61FA5" w:rsidP="00D61FA5">
            <w:pPr>
              <w:ind w:right="132" w:firstLine="123"/>
              <w:rPr>
                <w:rFonts w:ascii="Times New Roman" w:hAnsi="Times New Roman" w:cs="Times New Roman"/>
                <w:sz w:val="22"/>
                <w:szCs w:val="22"/>
              </w:rPr>
            </w:pPr>
            <w:r w:rsidRPr="00D61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15. Увеличение доли благоустроенных общественных территорий </w:t>
            </w:r>
            <w:r w:rsidRPr="00D61FA5">
              <w:rPr>
                <w:rFonts w:ascii="Times New Roman" w:hAnsi="Times New Roman" w:cs="Times New Roman"/>
                <w:sz w:val="22"/>
                <w:szCs w:val="22"/>
              </w:rPr>
              <w:t>в ОНП</w:t>
            </w:r>
          </w:p>
          <w:p w:rsidR="00D61FA5" w:rsidRPr="00D61FA5" w:rsidRDefault="00F0683A" w:rsidP="00D61FA5">
            <w:pPr>
              <w:pStyle w:val="a3"/>
              <w:ind w:left="0" w:right="132" w:firstLine="123"/>
              <w:jc w:val="both"/>
              <w:rPr>
                <w:rFonts w:ascii="Times New Roman" w:eastAsiaTheme="minorEastAsia" w:hAnsi="Times New Roman"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15ОНП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 xml:space="preserve">-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ОНП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база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*100%</m:t>
                </m:r>
              </m:oMath>
            </m:oMathPara>
          </w:p>
          <w:p w:rsidR="00D61FA5" w:rsidRPr="00D61FA5" w:rsidRDefault="00D61FA5" w:rsidP="00D61FA5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D61FA5" w:rsidRPr="00D61FA5" w:rsidRDefault="00F0683A" w:rsidP="00D61FA5">
            <w:pPr>
              <w:tabs>
                <w:tab w:val="left" w:pos="4678"/>
              </w:tabs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БТ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t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количество благоустроенных общественных территорий в ОНП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единица.</w:t>
            </w:r>
          </w:p>
          <w:p w:rsidR="006E35EE" w:rsidRDefault="00F0683A" w:rsidP="00D61FA5">
            <w:pPr>
              <w:tabs>
                <w:tab w:val="left" w:pos="4678"/>
              </w:tabs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БТ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база</m:t>
                  </m:r>
                </m:sup>
              </m:sSubSup>
            </m:oMath>
            <w:r w:rsidR="00D61FA5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– 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количество благоустроенных общественных территорий в ОНП </w:t>
            </w:r>
            <w:r w:rsidR="00D61FA5" w:rsidRPr="00D61FA5">
              <w:rPr>
                <w:rFonts w:ascii="Times New Roman" w:hAnsi="Times New Roman" w:cs="Times New Roman"/>
                <w:sz w:val="22"/>
                <w:szCs w:val="22"/>
              </w:rPr>
              <w:t>на базовый период</w:t>
            </w:r>
            <w:r w:rsidR="00D61FA5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,  единица .</w:t>
            </w:r>
          </w:p>
          <w:p w:rsidR="00BB712E" w:rsidRPr="00D61FA5" w:rsidRDefault="00BB712E" w:rsidP="00BB712E">
            <w:pPr>
              <w:tabs>
                <w:tab w:val="left" w:pos="4678"/>
              </w:tabs>
              <w:ind w:right="132" w:firstLine="123"/>
              <w:rPr>
                <w:rFonts w:ascii="Times New Roman" w:hAnsi="Times New Roman" w:cs="Times New Roman"/>
                <w:noProof/>
                <w:position w:val="-2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Расчет показателя производится согласно методике расчета, утвержденной приказом от 02.12.2024 № 811/пр.</w:t>
            </w:r>
          </w:p>
        </w:tc>
        <w:tc>
          <w:tcPr>
            <w:tcW w:w="1701" w:type="dxa"/>
            <w:shd w:val="clear" w:color="auto" w:fill="FFFFFF"/>
          </w:tcPr>
          <w:p w:rsidR="00F43978" w:rsidRDefault="00BB712E" w:rsidP="00D00BBA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б</w:t>
            </w:r>
            <w:r w:rsidR="00037D61">
              <w:rPr>
                <w:rFonts w:ascii="Times New Roman" w:hAnsi="Times New Roman" w:cs="Times New Roman"/>
                <w:sz w:val="22"/>
              </w:rPr>
              <w:t xml:space="preserve">азовый период рассчитывается за 2019 год, при отсутствии данных за базовый период 2019 года, но при наличии первичных документов, подтверждающих обновление инфраструктуры, приобретения объектов инфраструктуры за период с 2020 по 2024 годы. </w:t>
            </w:r>
          </w:p>
          <w:p w:rsidR="006E35EE" w:rsidRDefault="00037D61" w:rsidP="00D00BBA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 этом случае  расчетные данные за базовые период считаются по общей формуле:</w:t>
            </w:r>
          </w:p>
          <w:p w:rsidR="00037D61" w:rsidRDefault="00F0683A" w:rsidP="00217EE1">
            <w:pPr>
              <w:pStyle w:val="a3"/>
              <w:ind w:left="0" w:right="132" w:hanging="19"/>
              <w:jc w:val="both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ОНП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база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ОНП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=2024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2020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2024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ОНП</m:t>
                      </m:r>
                    </m:sub>
                  </m:sSub>
                </m:e>
              </m:nary>
            </m:oMath>
            <w:r w:rsidR="00217EE1">
              <w:rPr>
                <w:rFonts w:ascii="Times New Roman" w:hAnsi="Times New Roman"/>
              </w:rPr>
              <w:t xml:space="preserve"> ,</w:t>
            </w:r>
          </w:p>
          <w:p w:rsidR="00217EE1" w:rsidRPr="00D61FA5" w:rsidRDefault="00217EE1" w:rsidP="00217EE1">
            <w:pPr>
              <w:tabs>
                <w:tab w:val="left" w:pos="567"/>
              </w:tabs>
              <w:ind w:right="132" w:firstLine="123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Где</w:t>
            </w:r>
          </w:p>
          <w:p w:rsidR="00BB712E" w:rsidRDefault="00F0683A" w:rsidP="00BB712E">
            <w:pPr>
              <w:ind w:hanging="19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ОНП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=2024</m:t>
                  </m:r>
                </m:sup>
              </m:sSubSup>
            </m:oMath>
            <w:r w:rsidR="00217EE1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</w:t>
            </w:r>
            <w:r w:rsidR="00217EE1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– </w:t>
            </w:r>
            <w:r w:rsidR="00BB712E">
              <w:rPr>
                <w:rFonts w:ascii="Times New Roman" w:hAnsi="Times New Roman" w:cs="Times New Roman"/>
                <w:iCs/>
                <w:sz w:val="22"/>
                <w:szCs w:val="22"/>
              </w:rPr>
              <w:t>значение компонента показателя на 2024 год, полученного на основании проведенной инвентаризации;</w:t>
            </w:r>
          </w:p>
          <w:p w:rsidR="00217EE1" w:rsidRPr="00D61FA5" w:rsidRDefault="00F0683A" w:rsidP="00217EE1">
            <w:pPr>
              <w:ind w:right="132" w:firstLine="123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2020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2024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ОНП</m:t>
                      </m:r>
                    </m:sub>
                  </m:sSub>
                </m:e>
              </m:nary>
            </m:oMath>
            <w:r w:rsidR="00217EE1" w:rsidRPr="00D61FA5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 xml:space="preserve"> – </w:t>
            </w:r>
            <w:r w:rsidR="00BB712E">
              <w:rPr>
                <w:rFonts w:ascii="Times New Roman" w:eastAsiaTheme="minorEastAsia" w:hAnsi="Times New Roman" w:cs="Times New Roman"/>
                <w:iCs/>
                <w:sz w:val="22"/>
                <w:szCs w:val="22"/>
              </w:rPr>
              <w:t>введенные и/или приведенные в нормативное состояние объекты инфраструктуры за 2020-2024 годы, подтвержденные актами ввода в эксплуатацию, актами проведенного капитального ремонта</w:t>
            </w:r>
            <w:r w:rsidR="00217EE1" w:rsidRPr="00D61FA5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  <w:p w:rsidR="00217EE1" w:rsidRPr="00BB712E" w:rsidRDefault="00217EE1" w:rsidP="00BB712E">
            <w:pPr>
              <w:ind w:right="132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6E35EE" w:rsidRPr="006A24BA" w:rsidRDefault="0001502F" w:rsidP="00BB712E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6E35EE" w:rsidRPr="004B037B" w:rsidRDefault="00EC66A4" w:rsidP="00D00B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6E35EE" w:rsidRPr="006A24BA" w:rsidRDefault="002061CF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20C22"/>
                <w:szCs w:val="28"/>
              </w:rPr>
              <w:t>АИС ФРТ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6E35EE" w:rsidRPr="006A24BA" w:rsidRDefault="00CE1D98" w:rsidP="00CE1D9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 позднее 15 апреля года, следующего за отчетным</w:t>
            </w:r>
          </w:p>
        </w:tc>
      </w:tr>
      <w:tr w:rsidR="00B313F5" w:rsidRPr="006A24BA" w:rsidTr="001667C2">
        <w:tc>
          <w:tcPr>
            <w:tcW w:w="15710" w:type="dxa"/>
            <w:gridSpan w:val="10"/>
          </w:tcPr>
          <w:p w:rsidR="00B313F5" w:rsidRPr="00E003E2" w:rsidRDefault="00B313F5" w:rsidP="006A2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3D2220" w:rsidRPr="006A24BA" w:rsidTr="001667C2">
        <w:tc>
          <w:tcPr>
            <w:tcW w:w="690" w:type="dxa"/>
            <w:vMerge w:val="restart"/>
            <w:shd w:val="clear" w:color="auto" w:fill="FFFFFF"/>
          </w:tcPr>
          <w:p w:rsidR="003D2220" w:rsidRPr="006A24BA" w:rsidRDefault="003A5508" w:rsidP="006E35EE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6E35EE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979" w:type="dxa"/>
            <w:vMerge w:val="restart"/>
          </w:tcPr>
          <w:p w:rsidR="003D2220" w:rsidRPr="008E3B65" w:rsidRDefault="003D2220" w:rsidP="00560852">
            <w:pPr>
              <w:ind w:firstLine="0"/>
              <w:rPr>
                <w:rFonts w:ascii="Times New Roman" w:hAnsi="Times New Roman"/>
                <w:strike/>
              </w:rPr>
            </w:pPr>
            <w:r w:rsidRPr="00BC7D7D">
              <w:rPr>
                <w:rStyle w:val="2"/>
                <w:rFonts w:eastAsiaTheme="minorHAnsi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 w:rsidR="00F07EF3">
              <w:rPr>
                <w:rStyle w:val="2"/>
                <w:rFonts w:eastAsiaTheme="minorHAnsi"/>
              </w:rPr>
              <w:t>ния современной городской среды</w:t>
            </w:r>
            <w:r w:rsidRPr="00BC7D7D"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РП, ФС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D2220" w:rsidRPr="00E003E2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  <w:drawing>
                <wp:inline distT="0" distB="0" distL="0" distR="0" wp14:anchorId="4C7408A0" wp14:editId="1A7BC050">
                  <wp:extent cx="981075" cy="2571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220" w:rsidRPr="00E003E2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3D2220" w:rsidRPr="00E003E2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3D2220" w:rsidRPr="00E003E2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3D2220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3D2220" w:rsidRPr="006A24BA" w:rsidTr="001667C2">
        <w:tc>
          <w:tcPr>
            <w:tcW w:w="690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3D2220" w:rsidRPr="00BC7D7D" w:rsidRDefault="003D2220" w:rsidP="006A24BA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D2220" w:rsidRPr="00E003E2" w:rsidRDefault="003D2220" w:rsidP="006A24BA">
            <w:pPr>
              <w:ind w:firstLine="0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3D2220" w:rsidRPr="006A24BA" w:rsidTr="001667C2">
        <w:tc>
          <w:tcPr>
            <w:tcW w:w="690" w:type="dxa"/>
            <w:vMerge w:val="restart"/>
            <w:shd w:val="clear" w:color="auto" w:fill="FFFFFF"/>
          </w:tcPr>
          <w:p w:rsidR="003D2220" w:rsidRPr="006A24BA" w:rsidRDefault="00E90952" w:rsidP="006E35EE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6E35EE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3D2220" w:rsidRPr="00BC7D7D" w:rsidRDefault="003D2220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</w:t>
            </w:r>
            <w:r w:rsidRPr="00BC7D7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поселениях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D2220" w:rsidRPr="00E003E2" w:rsidRDefault="003D2220" w:rsidP="006A24BA">
            <w:pPr>
              <w:ind w:firstLine="0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noProof/>
                <w:position w:val="-23"/>
                <w:sz w:val="22"/>
                <w:szCs w:val="22"/>
              </w:rPr>
              <w:drawing>
                <wp:inline distT="0" distB="0" distL="0" distR="0" wp14:anchorId="34DFD584" wp14:editId="0A0EFC94">
                  <wp:extent cx="876300" cy="4286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220" w:rsidRPr="00E003E2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</w:t>
            </w:r>
            <w:r w:rsidR="009D1349" w:rsidRPr="00E003E2">
              <w:rPr>
                <w:rFonts w:ascii="Times New Roman" w:hAnsi="Times New Roman" w:cs="Times New Roman"/>
                <w:sz w:val="22"/>
                <w:szCs w:val="22"/>
              </w:rPr>
              <w:t xml:space="preserve"> с привлечением субсидии из областного бюджета, </w:t>
            </w:r>
            <w:r w:rsidRPr="00E003E2">
              <w:rPr>
                <w:rFonts w:ascii="Times New Roman" w:hAnsi="Times New Roman" w:cs="Times New Roman"/>
                <w:sz w:val="22"/>
                <w:szCs w:val="22"/>
              </w:rPr>
              <w:t>нарастающим итогом.</w:t>
            </w:r>
          </w:p>
          <w:p w:rsidR="003D2220" w:rsidRPr="00E003E2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3D2220" w:rsidRPr="00E003E2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3D2220" w:rsidRPr="00E003E2" w:rsidRDefault="003D2220" w:rsidP="006A24BA">
            <w:pPr>
              <w:ind w:firstLine="0"/>
              <w:rPr>
                <w:rFonts w:ascii="Times New Roman" w:hAnsi="Times New Roman" w:cs="Times New Roman"/>
                <w:noProof/>
                <w:position w:val="-10"/>
                <w:sz w:val="22"/>
                <w:szCs w:val="22"/>
              </w:rPr>
            </w:pPr>
            <w:r w:rsidRPr="00E003E2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noProof/>
                <w:position w:val="-6"/>
              </w:rPr>
              <w:drawing>
                <wp:inline distT="0" distB="0" distL="0" distR="0" wp14:anchorId="7BFC6226" wp14:editId="1C4E4857">
                  <wp:extent cx="266700" cy="20891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3D2220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3D2220" w:rsidRPr="006A24BA" w:rsidTr="001667C2">
        <w:tc>
          <w:tcPr>
            <w:tcW w:w="690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3D2220" w:rsidRPr="00BC7D7D" w:rsidRDefault="003D2220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6"/>
              </w:rPr>
            </w:pPr>
            <w:r w:rsidRPr="001C4506">
              <w:rPr>
                <w:rFonts w:ascii="Times New Roman" w:hAnsi="Times New Roman" w:cs="Times New Roman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E4153D" w:rsidRPr="006A24BA" w:rsidTr="001667C2">
        <w:tc>
          <w:tcPr>
            <w:tcW w:w="690" w:type="dxa"/>
            <w:vMerge w:val="restart"/>
            <w:shd w:val="clear" w:color="auto" w:fill="FFFFFF"/>
          </w:tcPr>
          <w:p w:rsidR="00E4153D" w:rsidRPr="006A24BA" w:rsidRDefault="00A071BF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6E35EE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E4153D" w:rsidRPr="00BC7D7D" w:rsidRDefault="00E4153D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РП, ФС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59CEC93B" wp14:editId="6D0AB30C">
                  <wp:extent cx="876300" cy="4286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нарастающим итогом.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E4153D" w:rsidRPr="006A24BA" w:rsidRDefault="00E4153D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4E83D2A9" wp14:editId="32358E9D">
                  <wp:extent cx="266700" cy="20891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4153D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E4153D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4153D" w:rsidRPr="006A24BA" w:rsidRDefault="00E4153D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E4153D" w:rsidRPr="006A24BA" w:rsidTr="001667C2">
        <w:tc>
          <w:tcPr>
            <w:tcW w:w="690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E4153D" w:rsidRPr="00BC7D7D" w:rsidRDefault="00E4153D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4153D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B313F5" w:rsidRPr="006A24BA" w:rsidTr="001667C2">
        <w:tc>
          <w:tcPr>
            <w:tcW w:w="690" w:type="dxa"/>
            <w:shd w:val="clear" w:color="auto" w:fill="FFFFFF"/>
          </w:tcPr>
          <w:p w:rsidR="00B313F5" w:rsidRPr="006A24BA" w:rsidRDefault="00B313F5" w:rsidP="006E35EE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6E35EE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</w:pPr>
            <w:r w:rsidRPr="00BC7D7D">
              <w:rPr>
                <w:rStyle w:val="2"/>
                <w:rFonts w:eastAsiaTheme="minorHAnsi"/>
              </w:rPr>
              <w:t xml:space="preserve">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</w:t>
            </w:r>
            <w:r w:rsidRPr="00BC7D7D">
              <w:rPr>
                <w:rStyle w:val="2"/>
                <w:rFonts w:eastAsiaTheme="minorHAnsi"/>
              </w:rPr>
              <w:lastRenderedPageBreak/>
              <w:t>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3F376C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Р</w:t>
            </w:r>
            <w:r w:rsidR="004000C6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 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принятием нормативно-правового акта об утверждении адресного перечня территорий, подлежащих благоустройству в следующем году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pStyle w:val="ConsPlusNormal"/>
              <w:spacing w:before="200"/>
              <w:jc w:val="both"/>
              <w:rPr>
                <w:rFonts w:ascii="Times New Roman" w:eastAsia="Times New Roman" w:hAnsi="Times New Roman" w:cs="Times New Roman"/>
                <w:color w:val="22272F"/>
                <w:sz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нормативно-правовой акт об утверждении адресного перечня территорий, подлежащих благоустройству в следующем году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 ноября текущего года</w:t>
            </w:r>
          </w:p>
        </w:tc>
      </w:tr>
      <w:tr w:rsidR="00BC5BFA" w:rsidRPr="006A24BA" w:rsidTr="002061CF">
        <w:tc>
          <w:tcPr>
            <w:tcW w:w="15710" w:type="dxa"/>
            <w:gridSpan w:val="10"/>
          </w:tcPr>
          <w:p w:rsidR="00BC5BFA" w:rsidRPr="00BC7D7D" w:rsidRDefault="00BC5BFA" w:rsidP="002061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E90952" w:rsidRPr="006A24BA" w:rsidTr="002061CF">
        <w:tc>
          <w:tcPr>
            <w:tcW w:w="690" w:type="dxa"/>
            <w:vMerge w:val="restart"/>
            <w:shd w:val="clear" w:color="auto" w:fill="FFFFFF"/>
          </w:tcPr>
          <w:p w:rsidR="00E90952" w:rsidRPr="006A24BA" w:rsidRDefault="00E90952" w:rsidP="006E35EE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6E35EE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979" w:type="dxa"/>
            <w:vMerge w:val="restart"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 с 2025 г.)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РП, ФС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512369D6" wp14:editId="56A0069D">
                  <wp:extent cx="876300" cy="4286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х поселениях нарастающим итогом с 2025 года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E90952" w:rsidRPr="006A24BA" w:rsidRDefault="00E90952" w:rsidP="00E90952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542AA700" wp14:editId="03558F68">
                  <wp:extent cx="266700" cy="20891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90952" w:rsidRPr="006A24BA" w:rsidRDefault="00E90952" w:rsidP="00E90952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E90952" w:rsidRPr="006A24BA" w:rsidTr="002061CF">
        <w:tc>
          <w:tcPr>
            <w:tcW w:w="690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E90952" w:rsidRPr="006A24BA" w:rsidTr="002061CF">
        <w:tc>
          <w:tcPr>
            <w:tcW w:w="690" w:type="dxa"/>
            <w:vMerge w:val="restart"/>
            <w:shd w:val="clear" w:color="auto" w:fill="FFFFFF"/>
          </w:tcPr>
          <w:p w:rsidR="00E90952" w:rsidRPr="006A24BA" w:rsidRDefault="00E90952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1979" w:type="dxa"/>
            <w:vMerge w:val="restart"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РП, ФС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68CD9F9E" wp14:editId="33716CEE">
                  <wp:extent cx="981075" cy="2571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952" w:rsidRPr="006A24BA" w:rsidRDefault="00E90952" w:rsidP="00E9095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E90952" w:rsidRPr="006A24BA" w:rsidRDefault="00E90952" w:rsidP="00E9095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E90952" w:rsidRPr="006A24BA" w:rsidRDefault="00E90952" w:rsidP="00E9095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нарастающим итогом начиная с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г., ед.; 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90952" w:rsidRPr="006A24BA" w:rsidRDefault="00E90952" w:rsidP="00E90952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E90952" w:rsidRPr="006A24BA" w:rsidTr="002061CF">
        <w:tc>
          <w:tcPr>
            <w:tcW w:w="690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B5132B" w:rsidRPr="006A24BA" w:rsidTr="002061CF">
        <w:tc>
          <w:tcPr>
            <w:tcW w:w="690" w:type="dxa"/>
            <w:vMerge w:val="restart"/>
            <w:shd w:val="clear" w:color="auto" w:fill="FFFFFF"/>
          </w:tcPr>
          <w:p w:rsidR="00B5132B" w:rsidRPr="006A24BA" w:rsidRDefault="004C7258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</w:t>
            </w:r>
          </w:p>
        </w:tc>
        <w:tc>
          <w:tcPr>
            <w:tcW w:w="1979" w:type="dxa"/>
            <w:vMerge w:val="restart"/>
          </w:tcPr>
          <w:p w:rsidR="00B5132B" w:rsidRPr="00BC7D7D" w:rsidRDefault="00B5132B" w:rsidP="00B5132B">
            <w:pPr>
              <w:ind w:firstLine="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</w:t>
            </w:r>
            <w:r w:rsidRPr="00E975BC">
              <w:rPr>
                <w:rStyle w:val="2"/>
                <w:rFonts w:eastAsiaTheme="minorHAnsi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noProof/>
                <w:position w:val="-10"/>
              </w:rPr>
            </w:pPr>
            <w:r w:rsidRPr="001C4506">
              <w:rPr>
                <w:noProof/>
                <w:position w:val="-23"/>
              </w:rPr>
              <w:drawing>
                <wp:inline distT="0" distB="0" distL="0" distR="0" wp14:anchorId="46FB238F" wp14:editId="2B900D7A">
                  <wp:extent cx="876300" cy="4286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с привлечением субсидии из областного бюджета, нарастающим итогом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2025 года</w:t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B5132B" w:rsidRPr="001C4506" w:rsidRDefault="00B5132B" w:rsidP="00B5132B">
            <w:pPr>
              <w:ind w:firstLine="0"/>
              <w:rPr>
                <w:noProof/>
                <w:position w:val="-10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noProof/>
                <w:position w:val="-6"/>
              </w:rPr>
              <w:drawing>
                <wp:inline distT="0" distB="0" distL="0" distR="0" wp14:anchorId="5061C3B5" wp14:editId="519DCE0B">
                  <wp:extent cx="266700" cy="20891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B5132B" w:rsidRPr="006A24BA" w:rsidRDefault="00B5132B" w:rsidP="00B5132B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B5132B" w:rsidRPr="006A24BA" w:rsidTr="002061CF">
        <w:tc>
          <w:tcPr>
            <w:tcW w:w="690" w:type="dxa"/>
            <w:vMerge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B5132B" w:rsidRPr="00BC7D7D" w:rsidRDefault="00B5132B" w:rsidP="00B5132B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noProof/>
                <w:position w:val="-6"/>
              </w:rPr>
            </w:pPr>
            <w:r w:rsidRPr="001C4506">
              <w:rPr>
                <w:rFonts w:ascii="Times New Roman" w:hAnsi="Times New Roman" w:cs="Times New Roman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B313F5" w:rsidRPr="006A24BA" w:rsidTr="001667C2">
        <w:tc>
          <w:tcPr>
            <w:tcW w:w="1571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E35546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муниципальных образований, для которых разработаны дизайн-проекты благоустройства объектов городской среды</w:t>
            </w:r>
          </w:p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муниципальных образований, для которых разработаны дизайн-проекты благоустройства объектов городской среды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B5132B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Количество улиц муниципальных образований, для которых разработаны дизайн-проекты благоустройства территорий улиц 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"Моя улица"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улиц муниципальных образований, для которых разработаны дизайн-проекты благоустройства территорий улиц «Моя улица»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улиц муниципальных образований, для которых разработаны дизайн-проекты благоустройства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территорий улиц «Моя улица»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4B037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отчеты автономной некоммерческой организации «Центр развития архитектурной деятельности,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15 февраля года, следующего за отчетным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E35546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организованных и проведенных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проектных семинаров в онлайн- и офлайн-форматах, голосований, опросов граждан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проектных семинаров в онлайн- и офлайн-форматах, голосований, опросов граждан 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8B7C4E" w:rsidRPr="006A24BA" w:rsidTr="001667C2">
        <w:tc>
          <w:tcPr>
            <w:tcW w:w="15710" w:type="dxa"/>
            <w:gridSpan w:val="10"/>
            <w:shd w:val="clear" w:color="auto" w:fill="FFFFFF"/>
          </w:tcPr>
          <w:p w:rsidR="008B7C4E" w:rsidRPr="00BC7D7D" w:rsidRDefault="008B7C4E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E4153D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территорий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»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E35546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5523D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Style w:val="2"/>
                <w:rFonts w:eastAsiaTheme="minorHAnsi"/>
              </w:rPr>
              <w:t>К</w:t>
            </w:r>
            <w:r w:rsidRPr="00E975BC">
              <w:rPr>
                <w:rFonts w:ascii="Times New Roman" w:hAnsi="Times New Roman"/>
              </w:rPr>
              <w:t xml:space="preserve">апитальный ремонт </w:t>
            </w:r>
            <w:r>
              <w:rPr>
                <w:rFonts w:ascii="Times New Roman" w:hAnsi="Times New Roman"/>
              </w:rPr>
              <w:t xml:space="preserve">крыш и </w:t>
            </w:r>
            <w:r w:rsidRPr="00E975BC">
              <w:rPr>
                <w:rFonts w:ascii="Times New Roman" w:hAnsi="Times New Roman"/>
              </w:rPr>
              <w:t>фасадов много</w:t>
            </w:r>
            <w:r>
              <w:rPr>
                <w:rFonts w:ascii="Times New Roman" w:hAnsi="Times New Roman"/>
              </w:rPr>
              <w:t>-</w:t>
            </w:r>
            <w:r w:rsidRPr="00E975BC">
              <w:rPr>
                <w:rFonts w:ascii="Times New Roman" w:hAnsi="Times New Roman"/>
              </w:rPr>
              <w:t>квартирных домов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капитально отремонтированных</w:t>
            </w:r>
            <w:r w:rsidR="005523D5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крыш и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фасадов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капитально отремонтированных</w:t>
            </w:r>
            <w:r w:rsidR="005523D5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крыш и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фасадов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B313F5" w:rsidRPr="006A24BA" w:rsidTr="001667C2">
        <w:tc>
          <w:tcPr>
            <w:tcW w:w="690" w:type="dxa"/>
            <w:shd w:val="clear" w:color="auto" w:fill="FFFFFF"/>
          </w:tcPr>
          <w:p w:rsidR="00B313F5" w:rsidRPr="006A24BA" w:rsidRDefault="00B5132B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Благоустройство дворовых и общественных территорий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благоустроенных дворовых и общественных пространств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дворовых и общественных пространств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B313F5" w:rsidRPr="006A24BA" w:rsidTr="001667C2">
        <w:tc>
          <w:tcPr>
            <w:tcW w:w="690" w:type="dxa"/>
            <w:shd w:val="clear" w:color="auto" w:fill="FFFFFF"/>
          </w:tcPr>
          <w:p w:rsidR="00B313F5" w:rsidRPr="006A24BA" w:rsidRDefault="00B5132B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Приобретение специал</w:t>
            </w:r>
            <w:r w:rsidR="00E4153D" w:rsidRPr="00BC7D7D">
              <w:rPr>
                <w:rFonts w:ascii="Times New Roman" w:hAnsi="Times New Roman"/>
              </w:rPr>
              <w:t>ьной</w:t>
            </w:r>
            <w:r w:rsidRPr="00BC7D7D">
              <w:rPr>
                <w:rFonts w:ascii="Times New Roman" w:hAnsi="Times New Roman"/>
              </w:rPr>
              <w:t xml:space="preserve"> коммунальной техники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приобретенной специализ</w:t>
            </w:r>
            <w:r w:rsidR="00771DCF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ированной коммунальной техники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приобретенной специализированной коммунальной техники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771DCF" w:rsidRPr="006A24BA" w:rsidTr="001667C2">
        <w:tc>
          <w:tcPr>
            <w:tcW w:w="690" w:type="dxa"/>
            <w:shd w:val="clear" w:color="auto" w:fill="FFFFFF"/>
          </w:tcPr>
          <w:p w:rsidR="00771DCF" w:rsidRPr="006A24BA" w:rsidRDefault="00B5132B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</w:tcPr>
          <w:p w:rsidR="00771DCF" w:rsidRPr="00BC7D7D" w:rsidRDefault="00771DCF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Приобретение транспорта</w:t>
            </w:r>
          </w:p>
        </w:tc>
        <w:tc>
          <w:tcPr>
            <w:tcW w:w="1134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приобретенного транспорта</w:t>
            </w:r>
          </w:p>
        </w:tc>
        <w:tc>
          <w:tcPr>
            <w:tcW w:w="1701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приобретенного транспорта</w:t>
            </w:r>
          </w:p>
        </w:tc>
        <w:tc>
          <w:tcPr>
            <w:tcW w:w="1701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771DCF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771DCF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5E7582" w:rsidRPr="006A24BA" w:rsidTr="001667C2">
        <w:tc>
          <w:tcPr>
            <w:tcW w:w="15710" w:type="dxa"/>
            <w:gridSpan w:val="10"/>
            <w:shd w:val="clear" w:color="auto" w:fill="FFFFFF"/>
          </w:tcPr>
          <w:p w:rsidR="005E7582" w:rsidRPr="006A24BA" w:rsidRDefault="005E7582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5E7582" w:rsidRPr="006A24BA" w:rsidTr="001667C2">
        <w:tc>
          <w:tcPr>
            <w:tcW w:w="690" w:type="dxa"/>
            <w:shd w:val="clear" w:color="auto" w:fill="FFFFFF"/>
          </w:tcPr>
          <w:p w:rsidR="005E7582" w:rsidRDefault="005E7582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E7582">
              <w:rPr>
                <w:rFonts w:ascii="Times New Roman" w:hAnsi="Times New Roman"/>
                <w:sz w:val="22"/>
                <w:szCs w:val="22"/>
              </w:rPr>
      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созданных рабочих мест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созданных рабочих мест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5E7582" w:rsidRPr="006A24BA" w:rsidTr="001667C2">
        <w:tc>
          <w:tcPr>
            <w:tcW w:w="690" w:type="dxa"/>
            <w:shd w:val="clear" w:color="auto" w:fill="FFFFFF"/>
          </w:tcPr>
          <w:p w:rsidR="005E7582" w:rsidRDefault="005E7582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5E7582">
              <w:rPr>
                <w:rFonts w:ascii="Times New Roman" w:hAnsi="Times New Roman"/>
                <w:sz w:val="22"/>
                <w:szCs w:val="22"/>
              </w:rPr>
              <w:t>оступление налоговых и неналоговых доходов в консолидированный бюджет субъекта Российской Федерации от реализации инфраструктурн</w:t>
            </w:r>
            <w:r w:rsidRPr="005E7582">
              <w:rPr>
                <w:rFonts w:ascii="Times New Roman" w:hAnsi="Times New Roman"/>
                <w:sz w:val="22"/>
                <w:szCs w:val="22"/>
              </w:rPr>
              <w:lastRenderedPageBreak/>
              <w:t>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млн. рублей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объемом поступивших налоговых и неналоговых доходов 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объем поступивших налоговых и неналоговых доходов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5E7582" w:rsidRPr="006A24BA" w:rsidTr="001667C2">
        <w:tc>
          <w:tcPr>
            <w:tcW w:w="690" w:type="dxa"/>
            <w:shd w:val="clear" w:color="auto" w:fill="FFFFFF"/>
          </w:tcPr>
          <w:p w:rsidR="005E7582" w:rsidRDefault="004C7258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30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5E7582">
              <w:rPr>
                <w:rFonts w:ascii="Times New Roman" w:hAnsi="Times New Roman"/>
                <w:sz w:val="22"/>
                <w:szCs w:val="22"/>
              </w:rPr>
              <w:t>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млн. рублей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объемом средств внебюджетных источников финансирования инфраструктурного проекта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объем средств  внебюджетных источников финансирования инфраструктурного проекта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F4673A" w:rsidRPr="006A24BA" w:rsidTr="001667C2">
        <w:tc>
          <w:tcPr>
            <w:tcW w:w="15710" w:type="dxa"/>
            <w:gridSpan w:val="10"/>
            <w:shd w:val="clear" w:color="auto" w:fill="FFFFFF"/>
          </w:tcPr>
          <w:p w:rsidR="00F4673A" w:rsidRPr="006A24BA" w:rsidRDefault="00F4673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F4673A" w:rsidRPr="006A24BA" w:rsidTr="001667C2">
        <w:tc>
          <w:tcPr>
            <w:tcW w:w="690" w:type="dxa"/>
            <w:shd w:val="clear" w:color="auto" w:fill="FFFFFF"/>
          </w:tcPr>
          <w:p w:rsidR="00F4673A" w:rsidRPr="006A24BA" w:rsidRDefault="00B5132B" w:rsidP="004C725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979" w:type="dxa"/>
          </w:tcPr>
          <w:p w:rsidR="00F4673A" w:rsidRPr="00BC7D7D" w:rsidRDefault="00F4673A" w:rsidP="00F4673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муниципальных образований</w:t>
            </w:r>
          </w:p>
        </w:tc>
        <w:tc>
          <w:tcPr>
            <w:tcW w:w="1134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благоустроенных общественных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 общественных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</w:t>
            </w:r>
          </w:p>
        </w:tc>
      </w:tr>
      <w:tr w:rsidR="00F4673A" w:rsidRPr="006A24BA" w:rsidTr="001667C2">
        <w:tc>
          <w:tcPr>
            <w:tcW w:w="690" w:type="dxa"/>
            <w:shd w:val="clear" w:color="auto" w:fill="FFFFFF"/>
          </w:tcPr>
          <w:p w:rsidR="00F4673A" w:rsidRDefault="00B5132B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  <w:r w:rsidR="004C725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979" w:type="dxa"/>
          </w:tcPr>
          <w:p w:rsidR="00F4673A" w:rsidRDefault="00F4673A" w:rsidP="00F4673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87BD5">
              <w:rPr>
                <w:rFonts w:ascii="Times New Roman" w:hAnsi="Times New Roman" w:cs="Times New Roman"/>
              </w:rPr>
              <w:t>еализованы мероприятия по благоустройству дворовых территорий многоквартирных домов</w:t>
            </w:r>
          </w:p>
        </w:tc>
        <w:tc>
          <w:tcPr>
            <w:tcW w:w="1134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благоустроенных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дворовых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дворовых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</w:t>
            </w:r>
          </w:p>
        </w:tc>
      </w:tr>
      <w:tr w:rsidR="004148C9" w:rsidRPr="004148C9" w:rsidTr="001667C2">
        <w:tc>
          <w:tcPr>
            <w:tcW w:w="690" w:type="dxa"/>
            <w:shd w:val="clear" w:color="auto" w:fill="FFFFFF"/>
          </w:tcPr>
          <w:p w:rsidR="00836CDF" w:rsidRPr="004148C9" w:rsidRDefault="00B5132B" w:rsidP="00E3554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C72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:rsidR="00836CDF" w:rsidRPr="004148C9" w:rsidRDefault="00A22D8A" w:rsidP="00836CDF">
            <w:pPr>
              <w:ind w:firstLine="0"/>
              <w:rPr>
                <w:rFonts w:ascii="Times New Roman" w:hAnsi="Times New Roman" w:cs="Times New Roman"/>
              </w:rPr>
            </w:pPr>
            <w:r w:rsidRPr="004148C9">
              <w:rPr>
                <w:rFonts w:ascii="Times New Roman" w:hAnsi="Times New Roman" w:cs="Times New Roman"/>
              </w:rPr>
              <w:t>Восстановление объектов благоустройства, поврежденных в результате чрезвычайной ситуации</w:t>
            </w:r>
          </w:p>
        </w:tc>
        <w:tc>
          <w:tcPr>
            <w:tcW w:w="1134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определяется количеством восстановленных объектов благоустройства</w:t>
            </w:r>
          </w:p>
        </w:tc>
        <w:tc>
          <w:tcPr>
            <w:tcW w:w="1701" w:type="dxa"/>
            <w:shd w:val="clear" w:color="auto" w:fill="FFFFFF"/>
          </w:tcPr>
          <w:p w:rsidR="00836CDF" w:rsidRPr="004148C9" w:rsidRDefault="00A22D8A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восстановленных объектов</w:t>
            </w:r>
          </w:p>
        </w:tc>
        <w:tc>
          <w:tcPr>
            <w:tcW w:w="1701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836CDF" w:rsidRPr="004148C9" w:rsidRDefault="00836CDF" w:rsidP="00836CDF">
            <w:pPr>
              <w:ind w:firstLine="0"/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836CDF" w:rsidRPr="004148C9" w:rsidRDefault="00836CDF" w:rsidP="00836CDF">
            <w:pPr>
              <w:ind w:firstLine="0"/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836CDF" w:rsidRPr="004148C9" w:rsidRDefault="00836CDF" w:rsidP="00836CDF">
            <w:pPr>
              <w:ind w:firstLine="0"/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20 января 2025 года</w:t>
            </w:r>
          </w:p>
        </w:tc>
      </w:tr>
      <w:tr w:rsidR="004C7258" w:rsidRPr="004148C9" w:rsidTr="00F43978">
        <w:trPr>
          <w:trHeight w:val="391"/>
        </w:trPr>
        <w:tc>
          <w:tcPr>
            <w:tcW w:w="15710" w:type="dxa"/>
            <w:gridSpan w:val="10"/>
            <w:shd w:val="clear" w:color="auto" w:fill="FFFFFF"/>
          </w:tcPr>
          <w:p w:rsidR="004C7258" w:rsidRPr="004C7258" w:rsidRDefault="004C7258" w:rsidP="00836CDF">
            <w:pPr>
              <w:ind w:firstLine="0"/>
              <w:rPr>
                <w:rFonts w:ascii="Times New Roman" w:hAnsi="Times New Roman" w:cs="Times New Roman"/>
              </w:rPr>
            </w:pPr>
            <w:r w:rsidRPr="004C7258">
              <w:rPr>
                <w:rFonts w:ascii="Times New Roman" w:hAnsi="Times New Roman" w:cs="Times New Roman"/>
              </w:rPr>
              <w:t>Региональный проект «Развитие инфраструктуры в населенных пунктах (Оренбургская область)»</w:t>
            </w:r>
          </w:p>
        </w:tc>
      </w:tr>
      <w:tr w:rsidR="00F43978" w:rsidRPr="004148C9" w:rsidTr="001667C2">
        <w:tc>
          <w:tcPr>
            <w:tcW w:w="690" w:type="dxa"/>
            <w:shd w:val="clear" w:color="auto" w:fill="FFFFFF"/>
          </w:tcPr>
          <w:p w:rsidR="00F43978" w:rsidRPr="00F0683A" w:rsidRDefault="00F43978" w:rsidP="00F439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683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979" w:type="dxa"/>
          </w:tcPr>
          <w:p w:rsidR="00F43978" w:rsidRPr="00F0683A" w:rsidRDefault="00F43978" w:rsidP="00F43978">
            <w:pPr>
              <w:ind w:firstLine="0"/>
              <w:rPr>
                <w:rFonts w:ascii="Times New Roman" w:hAnsi="Times New Roman" w:cs="Times New Roman"/>
              </w:rPr>
            </w:pPr>
            <w:r w:rsidRPr="00F0683A">
              <w:rPr>
                <w:rFonts w:ascii="Times New Roman" w:hAnsi="Times New Roman" w:cs="Times New Roman"/>
              </w:rPr>
              <w:t>Обеспечено достижение показателя «Улучшение качества среды для жизни в опорных населенных пунктах»</w:t>
            </w:r>
            <w:bookmarkStart w:id="11" w:name="_GoBack"/>
            <w:bookmarkEnd w:id="11"/>
          </w:p>
        </w:tc>
        <w:tc>
          <w:tcPr>
            <w:tcW w:w="1134" w:type="dxa"/>
            <w:shd w:val="clear" w:color="auto" w:fill="FFFFFF"/>
          </w:tcPr>
          <w:p w:rsidR="00F43978" w:rsidRPr="004148C9" w:rsidRDefault="00F43978" w:rsidP="00F439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F43978" w:rsidRPr="004148C9" w:rsidRDefault="00F43978" w:rsidP="00F439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F43978" w:rsidRPr="004C7258" w:rsidRDefault="00F43978" w:rsidP="00F43978">
            <w:pPr>
              <w:ind w:right="27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N</w:t>
            </w:r>
            <w:r>
              <w:rPr>
                <w:rFonts w:ascii="Times New Roman" w:hAnsi="Times New Roman" w:cs="Times New Roman"/>
                <w:spacing w:val="-2"/>
              </w:rPr>
              <w:t>, определяется значением достижения показателя "Улучшение качества среды для жизни в опорных населенных пунктах"</w:t>
            </w:r>
          </w:p>
        </w:tc>
        <w:tc>
          <w:tcPr>
            <w:tcW w:w="1701" w:type="dxa"/>
            <w:shd w:val="clear" w:color="auto" w:fill="FFFFFF"/>
          </w:tcPr>
          <w:p w:rsidR="00F43978" w:rsidRPr="000008BE" w:rsidRDefault="00F43978" w:rsidP="00F4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N</w:t>
            </w:r>
            <w:r>
              <w:rPr>
                <w:rFonts w:ascii="Times New Roman" w:hAnsi="Times New Roman" w:cs="Times New Roman"/>
                <w:spacing w:val="-2"/>
              </w:rPr>
              <w:t xml:space="preserve"> – достижение показателя </w:t>
            </w:r>
          </w:p>
        </w:tc>
        <w:tc>
          <w:tcPr>
            <w:tcW w:w="1701" w:type="dxa"/>
            <w:shd w:val="clear" w:color="auto" w:fill="FFFFFF"/>
          </w:tcPr>
          <w:p w:rsidR="00F43978" w:rsidRPr="004148C9" w:rsidRDefault="0001502F" w:rsidP="00F439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F43978" w:rsidRPr="004B037B" w:rsidRDefault="00F43978" w:rsidP="00F439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F43978" w:rsidRPr="006A24BA" w:rsidRDefault="00F43978" w:rsidP="00F4397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20C22"/>
                <w:szCs w:val="28"/>
              </w:rPr>
              <w:t>АИС ФРТ</w:t>
            </w:r>
          </w:p>
        </w:tc>
        <w:tc>
          <w:tcPr>
            <w:tcW w:w="1418" w:type="dxa"/>
            <w:shd w:val="clear" w:color="auto" w:fill="FFFFFF"/>
          </w:tcPr>
          <w:p w:rsidR="00F43978" w:rsidRPr="006A24BA" w:rsidRDefault="00F43978" w:rsidP="00F4397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 позднее 15 апреля года, следующего за отчетным</w:t>
            </w:r>
          </w:p>
        </w:tc>
      </w:tr>
    </w:tbl>
    <w:p w:rsidR="00064C92" w:rsidRPr="002F4299" w:rsidRDefault="00064C92" w:rsidP="006A24BA">
      <w:pPr>
        <w:spacing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064C92" w:rsidRPr="002F4299" w:rsidSect="00D161AB">
          <w:pgSz w:w="16838" w:h="11906" w:orient="landscape"/>
          <w:pgMar w:top="571" w:right="536" w:bottom="993" w:left="566" w:header="720" w:footer="720" w:gutter="0"/>
          <w:cols w:space="720"/>
          <w:titlePg/>
        </w:sectPr>
      </w:pPr>
    </w:p>
    <w:p w:rsidR="00D1085B" w:rsidRPr="002F4299" w:rsidRDefault="00D1085B" w:rsidP="006A24BA">
      <w:pPr>
        <w:rPr>
          <w:rFonts w:ascii="Times New Roman" w:hAnsi="Times New Roman" w:cs="Times New Roman"/>
          <w:sz w:val="22"/>
          <w:szCs w:val="22"/>
        </w:rPr>
      </w:pPr>
    </w:p>
    <w:sectPr w:rsidR="00D1085B" w:rsidRPr="002F4299" w:rsidSect="00064C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BE" w:rsidRDefault="001E7BBE" w:rsidP="00064C92">
      <w:r>
        <w:separator/>
      </w:r>
    </w:p>
  </w:endnote>
  <w:endnote w:type="continuationSeparator" w:id="0">
    <w:p w:rsidR="001E7BBE" w:rsidRDefault="001E7BBE" w:rsidP="0006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BE" w:rsidRDefault="001E7BBE" w:rsidP="00064C92">
      <w:r>
        <w:separator/>
      </w:r>
    </w:p>
  </w:footnote>
  <w:footnote w:type="continuationSeparator" w:id="0">
    <w:p w:rsidR="001E7BBE" w:rsidRDefault="001E7BBE" w:rsidP="0006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71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9868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22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58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94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3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92"/>
    <w:rsid w:val="000008BE"/>
    <w:rsid w:val="00011554"/>
    <w:rsid w:val="0001502F"/>
    <w:rsid w:val="00016DBB"/>
    <w:rsid w:val="00037D61"/>
    <w:rsid w:val="00064C92"/>
    <w:rsid w:val="000F72C6"/>
    <w:rsid w:val="00106D29"/>
    <w:rsid w:val="001347E7"/>
    <w:rsid w:val="00160CD6"/>
    <w:rsid w:val="001667C2"/>
    <w:rsid w:val="001A0D3C"/>
    <w:rsid w:val="001A6178"/>
    <w:rsid w:val="001C4506"/>
    <w:rsid w:val="001E4947"/>
    <w:rsid w:val="001E7840"/>
    <w:rsid w:val="001E7BBE"/>
    <w:rsid w:val="001F586D"/>
    <w:rsid w:val="002061CF"/>
    <w:rsid w:val="00217EE1"/>
    <w:rsid w:val="002213B5"/>
    <w:rsid w:val="002372A4"/>
    <w:rsid w:val="002A756F"/>
    <w:rsid w:val="002B0366"/>
    <w:rsid w:val="002B73B0"/>
    <w:rsid w:val="002D73B8"/>
    <w:rsid w:val="002F4299"/>
    <w:rsid w:val="00305F25"/>
    <w:rsid w:val="003061C3"/>
    <w:rsid w:val="003373E0"/>
    <w:rsid w:val="00345DC3"/>
    <w:rsid w:val="003647D9"/>
    <w:rsid w:val="00365423"/>
    <w:rsid w:val="003A3BDF"/>
    <w:rsid w:val="003A4188"/>
    <w:rsid w:val="003A5508"/>
    <w:rsid w:val="003B2C80"/>
    <w:rsid w:val="003D2220"/>
    <w:rsid w:val="003E173C"/>
    <w:rsid w:val="003E7906"/>
    <w:rsid w:val="003F376C"/>
    <w:rsid w:val="003F7DA3"/>
    <w:rsid w:val="004000C6"/>
    <w:rsid w:val="004148C9"/>
    <w:rsid w:val="00427374"/>
    <w:rsid w:val="00440206"/>
    <w:rsid w:val="004449B9"/>
    <w:rsid w:val="00447C51"/>
    <w:rsid w:val="00447D0C"/>
    <w:rsid w:val="00490D50"/>
    <w:rsid w:val="004A0687"/>
    <w:rsid w:val="004B037B"/>
    <w:rsid w:val="004C7258"/>
    <w:rsid w:val="004E004F"/>
    <w:rsid w:val="004F64B7"/>
    <w:rsid w:val="0051371B"/>
    <w:rsid w:val="005177C7"/>
    <w:rsid w:val="005250F7"/>
    <w:rsid w:val="005523D5"/>
    <w:rsid w:val="00560852"/>
    <w:rsid w:val="005945E5"/>
    <w:rsid w:val="005A4110"/>
    <w:rsid w:val="005A7CA8"/>
    <w:rsid w:val="005E7582"/>
    <w:rsid w:val="00630363"/>
    <w:rsid w:val="00682E8A"/>
    <w:rsid w:val="006A24BA"/>
    <w:rsid w:val="006C27A8"/>
    <w:rsid w:val="006C7F66"/>
    <w:rsid w:val="006D3A6F"/>
    <w:rsid w:val="006E035F"/>
    <w:rsid w:val="006E329D"/>
    <w:rsid w:val="006E35EE"/>
    <w:rsid w:val="00715AD3"/>
    <w:rsid w:val="00731E14"/>
    <w:rsid w:val="00771DCF"/>
    <w:rsid w:val="0077680F"/>
    <w:rsid w:val="007B52AA"/>
    <w:rsid w:val="007B7F78"/>
    <w:rsid w:val="007D1C6E"/>
    <w:rsid w:val="007E0016"/>
    <w:rsid w:val="00802026"/>
    <w:rsid w:val="00833ED6"/>
    <w:rsid w:val="00836CDF"/>
    <w:rsid w:val="0083706B"/>
    <w:rsid w:val="00896873"/>
    <w:rsid w:val="008B7C4E"/>
    <w:rsid w:val="008D1771"/>
    <w:rsid w:val="008D72EA"/>
    <w:rsid w:val="008E3B65"/>
    <w:rsid w:val="0090125C"/>
    <w:rsid w:val="00943832"/>
    <w:rsid w:val="009501C1"/>
    <w:rsid w:val="00967513"/>
    <w:rsid w:val="00992E37"/>
    <w:rsid w:val="009B7CFE"/>
    <w:rsid w:val="009C7464"/>
    <w:rsid w:val="009D1349"/>
    <w:rsid w:val="00A04EAA"/>
    <w:rsid w:val="00A071BF"/>
    <w:rsid w:val="00A15C19"/>
    <w:rsid w:val="00A22D8A"/>
    <w:rsid w:val="00A74F5D"/>
    <w:rsid w:val="00AB78E1"/>
    <w:rsid w:val="00AD4925"/>
    <w:rsid w:val="00AD598F"/>
    <w:rsid w:val="00AF2EEC"/>
    <w:rsid w:val="00B116C1"/>
    <w:rsid w:val="00B11DB4"/>
    <w:rsid w:val="00B313F5"/>
    <w:rsid w:val="00B41EB2"/>
    <w:rsid w:val="00B5132B"/>
    <w:rsid w:val="00B96C72"/>
    <w:rsid w:val="00BA4B1F"/>
    <w:rsid w:val="00BB712E"/>
    <w:rsid w:val="00BC5BFA"/>
    <w:rsid w:val="00BC7D7D"/>
    <w:rsid w:val="00BD2C94"/>
    <w:rsid w:val="00C14069"/>
    <w:rsid w:val="00C27C3F"/>
    <w:rsid w:val="00C37EAB"/>
    <w:rsid w:val="00C53B90"/>
    <w:rsid w:val="00CB5FB7"/>
    <w:rsid w:val="00CC1F94"/>
    <w:rsid w:val="00CC213C"/>
    <w:rsid w:val="00CE1D98"/>
    <w:rsid w:val="00CE2C83"/>
    <w:rsid w:val="00CE4282"/>
    <w:rsid w:val="00D00BBA"/>
    <w:rsid w:val="00D1085B"/>
    <w:rsid w:val="00D14C90"/>
    <w:rsid w:val="00D161AB"/>
    <w:rsid w:val="00D171E6"/>
    <w:rsid w:val="00D230D2"/>
    <w:rsid w:val="00D3723B"/>
    <w:rsid w:val="00D57F96"/>
    <w:rsid w:val="00D61FA5"/>
    <w:rsid w:val="00D644ED"/>
    <w:rsid w:val="00D7368B"/>
    <w:rsid w:val="00D8781B"/>
    <w:rsid w:val="00D87D28"/>
    <w:rsid w:val="00DA39A5"/>
    <w:rsid w:val="00DB150C"/>
    <w:rsid w:val="00DC499F"/>
    <w:rsid w:val="00E003E2"/>
    <w:rsid w:val="00E200C9"/>
    <w:rsid w:val="00E26ABF"/>
    <w:rsid w:val="00E35546"/>
    <w:rsid w:val="00E35900"/>
    <w:rsid w:val="00E4153D"/>
    <w:rsid w:val="00E447FB"/>
    <w:rsid w:val="00E50679"/>
    <w:rsid w:val="00E7022C"/>
    <w:rsid w:val="00E90952"/>
    <w:rsid w:val="00EA5DDA"/>
    <w:rsid w:val="00EC66A4"/>
    <w:rsid w:val="00EE53D4"/>
    <w:rsid w:val="00F0683A"/>
    <w:rsid w:val="00F07EF3"/>
    <w:rsid w:val="00F16FC3"/>
    <w:rsid w:val="00F178BC"/>
    <w:rsid w:val="00F2395F"/>
    <w:rsid w:val="00F43978"/>
    <w:rsid w:val="00F4673A"/>
    <w:rsid w:val="00F52B46"/>
    <w:rsid w:val="00F8335F"/>
    <w:rsid w:val="00F94DC0"/>
    <w:rsid w:val="00FA2E2E"/>
    <w:rsid w:val="00FC7DB3"/>
    <w:rsid w:val="00FD3D2B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03D4"/>
  <w15:chartTrackingRefBased/>
  <w15:docId w15:val="{B33A0635-DB1E-4382-A6E1-946139C9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бзац списка11,Абзац списка для документа,List_Paragraph,Подпись рисунка"/>
    <w:basedOn w:val="a"/>
    <w:link w:val="a4"/>
    <w:uiPriority w:val="34"/>
    <w:qFormat/>
    <w:rsid w:val="00064C92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064C92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64C9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064C92"/>
    <w:rPr>
      <w:vertAlign w:val="superscript"/>
    </w:rPr>
  </w:style>
  <w:style w:type="character" w:styleId="a8">
    <w:name w:val="Hyperlink"/>
    <w:basedOn w:val="a0"/>
    <w:uiPriority w:val="99"/>
    <w:unhideWhenUsed/>
    <w:rsid w:val="004E004F"/>
    <w:rPr>
      <w:color w:val="0563C1" w:themeColor="hyperlink"/>
      <w:u w:val="single"/>
    </w:rPr>
  </w:style>
  <w:style w:type="paragraph" w:customStyle="1" w:styleId="ConsPlusNormal">
    <w:name w:val="ConsPlusNormal"/>
    <w:rsid w:val="003373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"/>
    <w:basedOn w:val="a0"/>
    <w:rsid w:val="00365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71D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1DC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1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1AB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1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61A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Абзац списка1"/>
    <w:basedOn w:val="a"/>
    <w:rsid w:val="00E003E2"/>
    <w:pPr>
      <w:widowControl/>
      <w:suppressAutoHyphens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3"/>
    <w:uiPriority w:val="34"/>
    <w:qFormat/>
    <w:locked/>
    <w:rsid w:val="006C27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A1D74473871410B2E49F2EE9C907462737BC2DED1BEB1BBB6BDCE57D6C8B71D43F14F7F003D90EA0220965AA8D04DDEABEF18DA7E7FE7D0G8vC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33FB-AFDE-4A29-A67B-FF3FCFF6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6481</Words>
  <Characters>36948</Characters>
  <Application>Microsoft Office Word</Application>
  <DocSecurity>4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2</cp:revision>
  <cp:lastPrinted>2025-06-26T10:45:00Z</cp:lastPrinted>
  <dcterms:created xsi:type="dcterms:W3CDTF">2025-06-26T11:21:00Z</dcterms:created>
  <dcterms:modified xsi:type="dcterms:W3CDTF">2025-06-26T11:21:00Z</dcterms:modified>
</cp:coreProperties>
</file>